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Energiahatékony épületek: az Európai Parlament elfogadta a kibocsátáscsökkentési terveket</w:t>
      </w:r>
      <w:bookmarkEnd w:id="0"/>
    </w:p>
    <w:p>
      <w:pPr/>
      <w:r>
        <w:rPr/>
        <w:t xml:space="preserve">2030-tól az új épületeknek kibocsátásmentesnek kell lenniük</w:t>
      </w:r>
    </w:p>
    <w:p>
      <w:pPr/>
      <w:r>
        <w:rPr/>
        <w:t xml:space="preserve">Az intézkedések segítenek az energiaszámlák csökkentésében és a klímaváltozás megfékezésében</w:t>
      </w:r>
    </w:p>
    <w:p>
      <w:pPr/>
      <w:r>
        <w:rPr/>
        <w:t xml:space="preserve">Mentesség a mezőgazdasági és műemlékvédelmi épületeknek</w:t>
      </w:r>
    </w:p>
    <w:p>
      <w:pPr/>
      <w:r>
        <w:rPr/>
        <w:t xml:space="preserve">Az uniós üvegházhatásúgáz-kibocsátás 36 százaléka tudható be az épületeknek</w:t>
      </w:r>
    </w:p>
    <w:p>
      <w:pPr/>
      <w:r>
        <w:rPr/>
        <w:t xml:space="preserve">Kedden a képviselők hivatalosan is elfogadták a Tanáccsal már egyeztetett javaslatfokat az épületek energiafogyasztásának és kibocsátásának további csökkentését elősegítő szabályokról.</w:t>
      </w:r>
    </w:p>
    <w:p>
      <w:pPr/>
      <w:r>
        <w:rPr/>
        <w:t xml:space="preserve">Az épületek energiahatékonyságáról szóló irányelv felülvizsgálatának célja, hogy 2030-ra jelentős mértékben csökkenjen az uniós épületállomány üvegházhatásúgáz-kibocsátása és energiafogyasztása, 2050-re pedig már egyáltalán ne terheljék a környezetet az épületek. A most elfogadott intézkedéseknek továbbá az is a célja, hogy a tagállamokban még több épületet újítsanak fel az energiát legrosszabbul hasznosítók közül, és az energiahatékonysággal kapcsolatos adatok cseréje is javulni fog a felülvizsgálatnak köszönhetően.</w:t>
      </w:r>
    </w:p>
    <w:p>
      <w:pPr/>
      <w:r>
        <w:rPr/>
        <w:t xml:space="preserve">Kibocsátáscsökkentési célértékek</w:t>
      </w:r>
    </w:p>
    <w:p>
      <w:pPr/>
      <w:r>
        <w:rPr/>
        <w:t xml:space="preserve">2030-tól minden új épületnek kibocsátásmentesnek kellene lennie. Ez a követelmény a közhatóságok tulajdonában álló, illetve az általuk használt vagy fenntartott új épületekre már 2028-tól érvényes lesz. A tagállamok ennek teljesítéséhez a teljes életciklusra vonatkozó globális felmelegedési potenciált (GWP) vehetik majd alapul, így tehát az építkezéshez felhasznált termékek gyártásával, beépítésével, bontásával és ártalmatlanításával járó üvegházhatásúgáz-kibocsátással is számolniuk kell.</w:t>
      </w:r>
    </w:p>
    <w:p>
      <w:pPr/>
      <w:r>
        <w:rPr/>
        <w:t xml:space="preserve">A lakóépületek esetében olyan intézkedéseket kell életbe léptetniük a tagállamoknak, amelyekkel 2030-ra legalább 16 százalékkal, 2035-re pedig legalább 20–22 százalékkal tudják csökkenteni a természetben közvetlenül előforduló primer energiaforrások átlagos fogyasztását.</w:t>
      </w:r>
    </w:p>
    <w:p>
      <w:pPr/>
      <w:r>
        <w:rPr/>
        <w:t xml:space="preserve">Ami a legrosszabb energiahatékonyságú, nem lakáscélú épületállományt illeti, minimumkövetelmények révén kell gondoskodni arról, hogy 2030-ra 16 százalékuk, 2033-ra pedig 26 százalékuk fel legyen újítva.</w:t>
      </w:r>
    </w:p>
    <w:p>
      <w:pPr/>
      <w:r>
        <w:rPr/>
        <w:t xml:space="preserve">A már meglévő középületekre és a nem lakáscélú épületekre fokozatosan napelemeket kell telepíteni, amennyiben ez műszakilag, gazdaságilag és funkcionálisan megvalósítható. Az összes új lakóépületet pedig 2030-ra el kell látni napenergiát hasznosító berendezésekkel.</w:t>
      </w:r>
    </w:p>
    <w:p>
      <w:pPr/>
      <w:r>
        <w:rPr/>
        <w:t xml:space="preserve">A fosszilis tüzelőanyaggal működő kazánok fokozatos leszerelése</w:t>
      </w:r>
    </w:p>
    <w:p>
      <w:pPr/>
      <w:r>
        <w:rPr/>
        <w:t xml:space="preserve">A tagállamoknak lépéseket kell tenniük a fűtési rendszerek dekarbonizációja érdekében, többek között a fűtéshez és hűtéshez használt fosszilis tüzelőanyagok fokozatos kivezetésével. A cél az, hogy 2040-re egyetlen fosszilis tüzelőanyaggal működő kazán se legyen üzemben. 2025-től kezdődően a tagállamok nem nyújthatnak támogatást fosszilis tüzelőanyaggal működő önálló kazánok telepítéséhez. A pénzügyi ösztönzők tilalma nem vonatkozik a hibrid fűtési rendszerekre, amelyek a kazánt például naphőenergia-berendezéssel vagy hőszivattyúval kombinálják.</w:t>
      </w:r>
    </w:p>
    <w:p>
      <w:pPr/>
      <w:r>
        <w:rPr/>
        <w:t xml:space="preserve">Kivételek</w:t>
      </w:r>
    </w:p>
    <w:p>
      <w:pPr/>
      <w:r>
        <w:rPr/>
        <w:t xml:space="preserve">Az új szabályok hatálya nem terjed ki a mezőgazdasági és műemlékvédelmi épületekre. Az uniós tagországok emellett mentességet adhatnak a követelmények teljesítése alól a különleges építészeti vagy történeti értékük miatt hivatalosan védett épületeknek, az időszakosan vagy ideiglenesen használt épületeknek, valamint a templomoknak és más imahelyeknek.</w:t>
      </w:r>
    </w:p>
    <w:p>
      <w:pPr/>
      <w:r>
        <w:rPr/>
        <w:t xml:space="preserve">A jelentéstevő szerint</w:t>
      </w:r>
    </w:p>
    <w:p>
      <w:pPr/>
      <w:r>
        <w:rPr/>
        <w:t xml:space="preserve">Ciarán Cuffe (Zöldek/EFA, Írország) így nyilatkozott: „Az irányelv világosan megmutatja, hogy az éghajlat-politika milyen valós és azonnali előnyökkel járhat társadalmunk kevésbé tehetős tagjai számára. Ez a jogszabály segít csökkenteni az energiaszámlákat és az energiaszegénység alapvető okait, miközben több ezer magas színvonalú, helyi munkahelyet teremt az egész EU-ban. Az európai üvegházhatásúgáz-kibocsátás 36 százalékát kezeli, és az európai zöld megállapodásnak egy fontos pillérét képezi. A mai szavazás azt mutatja, hogy a Parlament továbbra is támogatja a méltányosságot és az ambíciót egyaránt megvalósító zöld megállapodást.”</w:t>
      </w:r>
    </w:p>
    <w:p>
      <w:pPr/>
      <w:r>
        <w:rPr/>
        <w:t xml:space="preserve">A következő lépések</w:t>
      </w:r>
    </w:p>
    <w:p>
      <w:pPr/>
      <w:r>
        <w:rPr/>
        <w:t xml:space="preserve">Az irányelvet a képviselők 370 szavazattal, 199 ellenében és 46 tartózkodás mellett fogadták el. Most a Tanács hivatalos jóváhagyására van szükség ahhoz, hogy a jogszabály életbe léphessen.</w:t>
      </w:r>
    </w:p>
    <w:p>
      <w:pPr/>
      <w:r>
        <w:rPr/>
        <w:t xml:space="preserve">Háttér</w:t>
      </w:r>
    </w:p>
    <w:p>
      <w:pPr/>
      <w:r>
        <w:rPr/>
        <w:t xml:space="preserve">Az Európai Bizottság adatai szerint az Európai Unión belüli energiafogyasztás 40 százaléka, az üvegházhatásúgáz-kibocsátásnak pedig 36 százaléka írható az épületek számlájára. 2021. december 15-én ezért az „Irány az 55%!” klímavédelmi csomag részeként jogalkotási javaslatot fogadott el az épületek energiahatékonyságáról szóló irányelv átdolgozására. A 2021 júliusában elfogadott európai klímarendelet pedig jogilag kötelezővé tette mind a 2030-as, mind a 2050-es célértékek elérését.</w:t>
      </w:r>
    </w:p>
    <w:p>
      <w:pPr/>
      <w:r>
        <w:rPr/>
        <w:t xml:space="preserve">Konferencia Európa jövőjéről</w:t>
      </w:r>
    </w:p>
    <w:p>
      <w:pPr/>
      <w:r>
        <w:rPr/>
        <w:t xml:space="preserve">Az épületek energiateljesítményéről szóló jogszabály közvetlenül illeszkedik az Európa jövőjéről szóló konferencia célkitűzéseihez és javaslataihoz, amelyek célja az EU energiafüggetlenségének és fenntarthatóságának fokozása. Ez a jogalkotási kezdeményezés összefonódik a konferecia olyan javaslataival, mint például az önkormányzatok szerepének erősítése a várostervezésben a kék-zöld infrastruktúra támogatása érdekében (2. javaslat (3) bekezdés), az olaj- és gázimporttól való függőség csökkentése energiahatékonysági projektek révén (3. javaslat (3) bekezdés), valamint az energiahatékonysági projektek aktív támogatása az energiatermelés és -ellátás terén való nagyobb önállóság elérése érdekében (18. javaslat (2) bekezdés).</w:t>
      </w:r>
    </w:p>
    <w:p>
      <w:pPr/>
      <w:r>
        <w:rPr/>
        <w:t xml:space="preserve">REF: 20240308IPR19003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https://hellosajto.hu/12082/energiahatekony-epuletek-az-europai-parlament-elfogadta-a-kibocsatascsokkentesi-terveket/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4D2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2024-03-12T16:27:53+00:00</dcterms:created>
  <dcterms:modified xsi:type="dcterms:W3CDTF">2024-03-12T16:27:53+00:00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