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BASF csoport: Jelentés a 2023. üzleti évről</w:t>
      </w:r>
      <w:bookmarkEnd w:id="0"/>
    </w:p>
    <w:p>
      <w:pPr/>
      <w:r>
        <w:rPr/>
        <w:t xml:space="preserve">A BASF pénzügyi ereje alátámasztja a 2023-as üzleti évre javasolt stabil, részvényenként 3,40 eurós osztalékot</w:t>
      </w:r>
    </w:p>
    <w:p>
      <w:pPr/>
      <w:r>
        <w:rPr/>
        <w:t xml:space="preserve">Rendkívüli tételek előtti EBITDA: 7,7 mrd euró (mínusz 28,7 százalék)</w:t>
      </w:r>
    </w:p>
    <w:p>
      <w:pPr/>
      <w:r>
        <w:rPr/>
        <w:t xml:space="preserve">Működési tevékenységekből származó cash-flow: 8,1 mrd euró (plusz 5,2 százalék), szabad cash-flow: 2,7 mrd euró (mínusz 18,5 százalék)</w:t>
      </w:r>
    </w:p>
    <w:p>
      <w:pPr/>
      <w:r>
        <w:rPr/>
        <w:t xml:space="preserve">2024. évi kilátások:</w:t>
      </w:r>
    </w:p>
    <w:p>
      <w:pPr/>
      <w:r>
        <w:rPr/>
        <w:t xml:space="preserve">Rendkívüli tételek előtti EBITDA: várhatóan 8,0 mrd és 8,6 mrd euró között</w:t>
      </w:r>
    </w:p>
    <w:p>
      <w:pPr/>
      <w:r>
        <w:rPr/>
        <w:t xml:space="preserve">Szabad cash-flow: várhatóan 0,1 mrd és 0,6 mrd euró között az átmenetileg nagyobb tőkeberuházások miatt</w:t>
      </w:r>
    </w:p>
    <w:p>
      <w:pPr/>
      <w:r>
        <w:rPr/>
        <w:t xml:space="preserve">Ludwigshafeni telephelyre vonatkozó, 2026 végéig évi 1 mrd euró költségmegtakarítást célzó újabb program már bejelentve</w:t>
      </w:r>
    </w:p>
    <w:p>
      <w:pPr/>
      <w:r>
        <w:rPr/>
        <w:t xml:space="preserve">A BASF csoport a gazdasági bizonytalanságok okán átalakult piaci környezetben a 2023-as üzleti évben 68,9 milliárd eurós árbevételről adott ki jelentést az előző évi 87,3 milliárd euróval szemben. Az árbevétel ilyen alakulását elsősorban a jelentősen alacsonyabb árak és mennyiségek idézték elő. Különösen az alacsonyabb nyersanyagárak vezettek szinte minden szegmensben alacsonyabb árakhoz. Az értékesítési volumenek minden szegmensben csökkentek a jónéhány vevő-orientált iparágban tapasztalható gyenge kereslet miatt. A BASF ennek ellenére meg tudta mutatni gazdasági erejét, mivel a működési tevékenységből származó cash-flow 5,2 százalékkal nőtt az előző évhez képest és elérte a 8,1 milliárd eurót. A vállalat már 2024. január 19-én közzétette a teljes 2023-as évre vonatkozó előzetes számokat. Dr. Martin Brudermüller, a BASF igazgatótanácsának elnöke és Dr. Dirk Elvermann pénzügyi igazgató részletesen bemutatta a 2023. évi üzleti fejlődést, és bejelentettek még egy újabb, a ludwigshafeni telephelyen megvalósítandó programot, ami 2026 végéig további évi 1 milliárd eurós költségmegtakarítást irányoz elő. Ez a nem termelő egységekben már folyamatban lévő azon költségmegtakarítási programot egészíti ki, amelynek középpontjában Európa és a ludwigshafeni termelési szerkezetek átalakítása áll.</w:t>
      </w:r>
    </w:p>
    <w:p>
      <w:pPr/>
      <w:r>
        <w:rPr/>
        <w:t xml:space="preserve">A BASF csoport eredményeinek alakulása 2023-ban</w:t>
      </w:r>
    </w:p>
    <w:p>
      <w:pPr/>
      <w:r>
        <w:rPr/>
        <w:t xml:space="preserve">A 2023-as üzleti évben a rendkívüli tételek előtti működési eredmény (EBIT) 3,8 milliárd eurót tett ki. Ez, az előző évi értékhez képest megvalósult 3,1 milliárd eurós csökkenés elsősorban a Vegyi anyagok és az Anyagok szegmens jelentősen alacsonyabb eredmény-hozzájárulása miatt következett be. A rendkívüli tételek előtti EBIT a Vegyi anyagok szegmensben csökkent elsősorban a visszafogott árrés és volumen, valamint a tőkemódszerrel elszámolt részesedések kisebb mértékű hozzájárulása miatt. A bevételek csökkentek az Anyagok szegmensben, főként a poliamid és az ammónia alacsonyabb árrése következtében. Az Élelmezés és gondozás, valamint az Ipari megoldások szegmens rendkívüli tételek előtti EBIT értéke főként az alacsonyabb volumenek és árrések miatt jelentősen elmaradt az előző évitől. Ezzel szemben a Mezőgazdasági megoldások szegmensben jelentősen nőtt a rendkívüli tételek előtti EBIT, elsősorban az áremelések és egy egyszeri kifizetés eredményeként. A Felületi technológiák szegmens enyhe eredménynövekedése a Bevonatok üzletágban az ár- és volumennövekedés okán tetemesen magasabb, rendkívüli tételek előtti EBIT-nek volt köszönhető, ami bőven ellensúlyozta a Katalizátorok üzletág számottevő eredménycsökkenését. Az Egyéb üzletágnak tulajdonítható, rendkívüli tételek előtti EBIT jelentősen javult, főként az egyéb üzletágakból származó magasabb bevételekből és az alacsonyabb vállalati kutatási költségekből kifolyólag.</w:t>
      </w:r>
    </w:p>
    <w:p>
      <w:pPr/>
      <w:r>
        <w:rPr/>
        <w:t xml:space="preserve">A BASF 2023-ban 2,2 milliárd euró összegű EBIT-et mutatott ki a jelentésében. Az előző évi értékhez viszonyított meredek csökkenés elsősorban a mínusz 1,6 milliárd eurót kitevő rendkívüli tételek miatt következett be. A rendkívüli költségek különösen a mintegy 1,1 milliárd eurós értékvesztésből adódtak. Ez utóbb érték a Felületi technológiák és a Mezőgazdasági megoldások szegmensben az ingatlanok, gépek és berendezések, valamint az Anyagok szegmensben a tárgyi eszközök és immateriális javak értékvesztéséből tevődött össze.</w:t>
      </w:r>
    </w:p>
    <w:p>
      <w:pPr/>
      <w:r>
        <w:rPr/>
        <w:t xml:space="preserve">A rendkívüli tételek előtti EBITDA 2023-ban 7,7 milliárd euró volt, ami 3,1 milliárd euróval a 2022. évi érték alatt marad. Az EBITDA 3,6 milliárd euróval 7,2 milliárd euróra csökkent. A nettó eredmény 852 millió euróval 225 millió euróra nőtt a 2022. évi mínusz 627 millió eurós értékhez képest.</w:t>
      </w:r>
    </w:p>
    <w:p>
      <w:pPr/>
      <w:r>
        <w:rPr/>
        <w:t xml:space="preserve">A BASF csoport 2023. évi cash flow-ja és a 2023. december 31-én érvényes legfőbb pénzügyi mutatói</w:t>
      </w:r>
    </w:p>
    <w:p>
      <w:pPr/>
      <w:r>
        <w:rPr/>
        <w:t xml:space="preserve">A működési tevékenységből származó cash-flow 8,1 milliárd eurót tett ki a teljes 2023-as évben, szemben az előző évi 7,7 milliárd euróval. Ez a javulás elsősorban a nettó működő tőkéből származó pénzbevételnek volt köszönhető. A készletek csupán 2023. évi csökkenése 1,9 milliárd eurónyi pénzállományt szabadított fel. Az ingatlanokra, gépekre és berendezésekre, valamint az immateriális javakra történt kifizetéseknek a működési tevékenységből származó cash flow-ból történő levonása után maradó szabad cash flow 2023-ban 2,7 milliárd eurót tett ki az előző évi 3,3 milliárd euró után.</w:t>
      </w:r>
    </w:p>
    <w:p>
      <w:pPr/>
      <w:r>
        <w:rPr/>
        <w:t xml:space="preserve">A 2023. december 31-én fennálló 16,6 milliárd eurós nettó adósságállomány szinte megegyezett az előző év végi 16,3 milliárd eurós értékkel. A 2023. év végi 47,3 százalékos saját tőke arány közel megfelelt a 2022. december 31-i 48,4 százalékos értéknek. "A saját tőke kifejezetten stabil aránya és az erőteljes pénzforgalmi teljesítmény bizonyítja a BASF folyamatosan fennálló pénzügyi erejét még a kihívásokkal teli időkben is." – mondta Elvermann.</w:t>
      </w:r>
    </w:p>
    <w:p>
      <w:pPr/>
      <w:r>
        <w:rPr/>
        <w:t xml:space="preserve">Részvényenként javasolt 3,40 euró osztalék</w:t>
      </w:r>
    </w:p>
    <w:p>
      <w:pPr/>
      <w:r>
        <w:rPr/>
        <w:t xml:space="preserve">Az éves közgyűlés elé az előző évi szinttel egyező, részvényenként 3,40 euró osztalék ajánlása kerül majd benyújtásra, ami 3,0 milliárd euró kifizetését jelenti a BASF SE részvényesei részére. Ezzel a javasolt osztalékkal a BASF részvény magas, 7,0 százalékpontos osztalékhozamot kínál a 2023-as év végi részvényárfolyam alapján. A BASF szerepel abban a DivDAX részvényindexben, amely a DAX 40 legmagasabb osztalékhozamot biztosító 15 vállalatát fogja össze.</w:t>
      </w:r>
    </w:p>
    <w:p>
      <w:pPr/>
      <w:r>
        <w:rPr/>
        <w:t xml:space="preserve">A ludwigshafeni telephely eredménye tovább gyengült 2023-ban</w:t>
      </w:r>
    </w:p>
    <w:p>
      <w:pPr/>
      <w:r>
        <w:rPr/>
        <w:t xml:space="preserve">2023-ban, a szűkös kereslettel küszködő, rendkívül nehéz piaci környezetben a rendkívüli tételek előtti EBIT minden régióban kétszámjegyű százalékkal csökkent. "Abszolút értékben azonban csapataink – Németország kivételével – minden jelentősebb országban pozitív eredmény-hozzájárulást értek el" – mondta Brudermüller. A németországi eredmények a legnagyobb ludwigshafeni gyártóüzem számottevően negatív eredménye miatt alakultak rosszabban. Ennek két fő oka van: az ideiglenesen visszafogott kereslettel jellemezhető környezet hatással van a volumen alakulására az ellátási láncnak mind a beszállítói, mind a vevői oldalán. A strukturálisan magasabb energiaárak miatti magasabb gyártási költségek pedig elsősorban a beszállítói oldalt terhelik.</w:t>
      </w:r>
    </w:p>
    <w:p>
      <w:pPr/>
      <w:r>
        <w:rPr/>
        <w:t xml:space="preserve">"Ez a helyzet egyrészt a BASF csoportnak a globális szinten is kihívásokkal teli körülmények között tapasztalható nagyfokú versenyképességéről és egészséges működéséről ad tanúbizonyságot. Másrészt a ludwigshafeni telephelyünkön elszenvedett negatív eredmény azt mutatja, hogy itt további határozott intézkedésekre van szükség a versenyképességünk fokozása érdekében."-tette hozzá Brudermüller.</w:t>
      </w:r>
    </w:p>
    <w:p>
      <w:pPr/>
      <w:r>
        <w:rPr/>
        <w:t xml:space="preserve">Már 2022-ben kezdeményezett költségmegtakarítási program</w:t>
      </w:r>
    </w:p>
    <w:p>
      <w:pPr/>
      <w:r>
        <w:rPr/>
        <w:t xml:space="preserve">2022 októberében a BASF volt az első olyan vegyipari vállalatok egyike, amelyek jelentős költségmegtakarítási programot indítottak el. Később, 2023 februárjában a vállalat konkrét intézkedések sorát indította el a gyártáson kívüli egyéb európai területeken elérendő költségmegtakarítás és a ludwigshafeni telephelyen a gyártási szerkezetek átalakítása céljával. Ahogy azt a BASF 2023. III. negyedévi beszámolója megerősítette, a korábban bejelentett valamennyi intézkedésnek betudható teljes éves költségmegtakarítás 2026 végére várhatóan eléri majd az 1,1 milliárd eurót. Egy mintegy 600 millió eurós éves költségcsökkentési ütemet már 2023 végére is sikerült elérni. A 2022 októberében és 2023 februárjában bejelentett intézkedések további 500 millió eurós éves költségmegtakarítást fognak eredményezni 2026 végéig.</w:t>
      </w:r>
    </w:p>
    <w:p>
      <w:pPr/>
      <w:r>
        <w:rPr/>
        <w:t xml:space="preserve">A ludwigshafeni telephelyen szükséges további intézkedések</w:t>
      </w:r>
    </w:p>
    <w:p>
      <w:pPr/>
      <w:r>
        <w:rPr/>
        <w:t xml:space="preserve">Egy másik költségmegtakarítási programmal kiegészítve 2026 végéig további évi 1 milliárd euró összegű költségcsökkentés van előirányozva a ludwigshafeni telephelyen. A program mind a gyártási, mind a nem gyártási területeken is költségmegtakarítást fog előidézni. Az állandó költségek a vállalati struktúrák hatékonyságának növelésével és a gyártókapacitások piaci igényekhez való alakításával lesznek csökkentve. A vállalat célja továbbá, hogy a folyamatok újratervezésével jelentősen csökkentse a változó költségeket. "A program ezért sajnos további létszámleépítésekkel is jár majd". -mondta Martin Brudermüller. A részletek kidolgozása jelenleg folyamatban van. A munkavállalók képviselői részletekbe menően be lesznek vonva ebbe a folyamatba.</w:t>
      </w:r>
    </w:p>
    <w:p>
      <w:pPr/>
      <w:r>
        <w:rPr/>
        <w:t xml:space="preserve">A BASF a szükséges költségcsökkentések mellett megtesz minden lehetséges lépést annak érdekében, hogy ismét jelentősen növelje a Ludwigshafenben lévő versenyképes eszközeinek kihasználtságát. Ahhoz, hogy a vállalat stabil nyereséggel tudjon itt számolni, az üzemek szokásos kihasználtsági szintjére építve további fedezeti hozzájárulásokat kell elérnie. A ludwigshafeni telephelyen főként a Vegyi anyagok és az Anyagok szegmens ellátási láncának beszállítói oldali üzemei jelenleg a szokásosnál jóval alacsonyabb kihasználtsággal működnek.</w:t>
      </w:r>
    </w:p>
    <w:p>
      <w:pPr/>
      <w:r>
        <w:rPr/>
        <w:t xml:space="preserve">A ma bejelentett és fentebb ismertetett rövid távú programmal párhuzamosan az igazgatótanács aktualizálni fogja a ludwigshafeni telephely hosszabb távú pozícionálását is. A ludwigshafeni fő telephelyre vonatkozó célokat 2024 második felében fogják bemutatni. Ezek a célok mind a szabályozási keretrendszert, mind az Európában és Németországban megváltozott piaci realitásokat is tükrözni fogják.</w:t>
      </w:r>
    </w:p>
    <w:p>
      <w:pPr/>
      <w:r>
        <w:rPr/>
        <w:t xml:space="preserve">Brudermüller: "Az igazgatótanácsot alkotó csapat a továbbiakban is a leghatározottabban elkötelezett marad a ludwigshafeni telephely mellett. Ludwigshafent alacsony CO2-kibocsátású, magas jövedelmezőséget és fenntarthatóságot biztosító vezető vegyipari gyártóüzemmé kívánjuk fejleszteni. Ludwigshafen tevékenységének középpontjában az európai piac ellátása fog állni úgy, hogy továbbra is ügyfeleink legmegfelelőbb partnerei maradjunk. Ehhez elengedhetetlen, hogy a programot következetesen és a lehető leggyorsabban hajtsuk végre. Ezzel egyidejűleg üzleti tevékenységünket a világ dinamikusabban növekvő és a befektetésekhez vonzó feltételeket kínáló régióiban is igyekszünk szisztematikusan előmozdítani."</w:t>
      </w:r>
    </w:p>
    <w:p>
      <w:pPr/>
      <w:r>
        <w:rPr/>
        <w:t xml:space="preserve">A BASF csoport 2024. évi kilátásai</w:t>
      </w:r>
    </w:p>
    <w:p>
      <w:pPr/>
      <w:r>
        <w:rPr/>
        <w:t xml:space="preserve">A BASF várakozásai szerint a világgazdaság 2023-tól gyengülő lendülete 2024-ben is folytatódni fog majd. A globális gazdasági növekedés az év során várhatóan csak később fog valamelyest felgyorsulni, így a BASF arra számít, hogy a globális gazdaság 2024-ben összességében 2,3 százalékponttal fog növekedni (2023: plusz 2,6 százalék). Európában a viszonylag magas energiaárak és az ipari értékteremtés kedvezőtlen keretfeltételei továbbra is lassítani fogják a gazdasági fejlődést.</w:t>
      </w:r>
    </w:p>
    <w:p>
      <w:pPr/>
      <w:r>
        <w:rPr/>
        <w:t xml:space="preserve">A BASF azzal a feltételezéssel is él, hogy a globális ipari termelés összességében várhatóan 2,2 százalékkal fog bővülni (2023: plusz 1,4 százalék). A globális vegyipari termelés 2024-ben várhatóan gyorsabban, 2,7 százalékkal fog nőni (2023: plusz 1,7 százalék). Ezt elsősorban a kínai vegyipar várható növekedése fogja elősegíteni. A BASF a terveiben a Brent nyersolaj hordójáért 80 dolláros átlagos olajárat és 1,10 dollár/euró árfolyamot feltételez.</w:t>
      </w:r>
    </w:p>
    <w:p>
      <w:pPr/>
      <w:r>
        <w:rPr/>
        <w:t xml:space="preserve">A BASF csoport rendkívüli tételek előtti EBITDA értéke 2024-ben várhatóan 8,0 és 8,6 milliárd euró közé emelkedik majd (2023: 7,7 milliárd euró). A vállalat előrejelzése szerint a BASF csoport szabad cash flow-ja 0,1 és 0,6 milliárd euró közé fog majd esni (2023: 2,7 milliárd euró). Ez a működési tevékenységekből származóan 6,6 és 7,1 milliárd euró közé várható cash-flow értékeken alapul, amiből levonásra kerülnek az ingatlanok, gépek és berendezések, valamint az immateriális javak 6,5 milliárd euró értékben várható kifizetései. A beruházásokkal kapcsolatos nagyösszegű pénzkiáramlás elsősorban az új kínai Verbund telephelyen megvalósuló beruházások miatt következett be: ez a mértékét tekintve 2024-ben fogja elérni abszolút csúcspontját, majd az azt követő években csökkenésnek indul majd.</w:t>
      </w:r>
    </w:p>
    <w:p>
      <w:pPr/>
      <w:r>
        <w:rPr/>
        <w:t xml:space="preserve">A CO2-kibocsátás 2024-ben 16,7 és 17,7 millió tonna között várható (2023: 16,9 millió tonna). A vállalat az előző évhez viszonyítva a növekvő kereslet okán megnövekedett gyártási volumenhez kapcsolódóan további kibocsátásokra számít. A BASF ezt a növekedést a kibocsátások csökkentésére irányuló célzott intézkedésekkel, például az energiahatékonyság növelésével és a folyamatok optimalizálásával, valamint a megújuló energiaforrásokból származó villamos energiára való folytatólagos átállással fogja ellensúlyozni.</w:t>
      </w:r>
    </w:p>
    <w:p>
      <w:pPr/>
      <w:r>
        <w:rPr/>
        <w:t xml:space="preserve">A jelentés letöltése .pdf fájlként itt.</w:t>
      </w:r>
    </w:p>
    <w:p>
      <w:pPr/>
      <w:r>
        <w:rPr/>
        <w:t xml:space="preserve">Eredeti tartalom: BASF Hungária Kft.</w:t>
      </w:r>
    </w:p>
    <w:p>
      <w:pPr/>
      <w:r>
        <w:rPr/>
        <w:t xml:space="preserve">Továbbította: Helló Sajtó! Üzleti Sajtószolgálat</w:t>
      </w:r>
    </w:p>
    <w:p>
      <w:pPr/>
      <w:r>
        <w:rPr/>
        <w:t xml:space="preserve">
          Ez a sajtóközlemény a következő linken érhető el:
          <w:br/>
          https://hellosajto.hu/11614/basf-csoport-jelentes-a-2023-uzleti-evrol/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BASF Hungária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2024-02-26T16:26:46+00:00</dcterms:created>
  <dcterms:modified xsi:type="dcterms:W3CDTF">2024-02-26T16:26:46+00:00</dcterms:modified>
</cp:coreProperties>
</file>

<file path=docProps/custom.xml><?xml version="1.0" encoding="utf-8"?>
<Properties xmlns="http://schemas.openxmlformats.org/officeDocument/2006/custom-properties" xmlns:vt="http://schemas.openxmlformats.org/officeDocument/2006/docPropsVTypes"/>
</file>