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kgfb a tavalyi utolsó negyedévben már alig drágult a személyautóknál</w:t>
      </w:r>
      <w:bookmarkEnd w:id="0"/>
    </w:p>
    <w:p>
      <w:pPr/>
      <w:r>
        <w:rPr/>
        <w:t xml:space="preserve">Mindössze 368 forinttal emelkedett a tavalyi IV. negyedévben egy átlagos személyautó kötelező gépjármű-felelősségbiztosítási állománydíja. Az éves díjnövekedés – a korábbi magas, de folyamatosan lassuló mérték miatt – a budapesti autósoknál összességében 12, a vidékieknél 11 százalék volt. Károkra is csak 7 százalékkal többet fizettek ki a biztosítók, mint egy évvel korábban, márpedig e fékeződés is kedvezően hat a díjak változására.</w:t>
      </w:r>
    </w:p>
    <w:p>
      <w:pPr/>
      <w:r>
        <w:rPr/>
        <w:t xml:space="preserve">A személyautók kötelező gépjármű-felelősségbiztosításainak (kgfb) átlagos állománydíja 0,3 százalékkal, szerződésenként kevesebb mint 400 forinttal nőtt 2023. utolsó negyedévében a korábbi időszakok 1-7 százalékos mértékeivel szemben. Mind a díjak, mind a kárkifizetések növekedésénél egyértelműen látszódik a lassulás – derül ki a Magyar Nemzeti Bank (MNB) friss negyedéves Kgfb-indexéből.</w:t>
      </w:r>
    </w:p>
    <w:p>
      <w:pPr/>
      <w:r>
        <w:rPr/>
        <w:t xml:space="preserve">A személyautók éves országos átlagdíja így 2023-ban 53 ezer forint alatt maradt. A budapesti autósok átlagdíja – alapvetően a tavalyi év első részében mért magasabb díjnövekedési ütem miatt – 12 százalékkal, a vidéken élőké 11 százalékkal emelkedett egy év alatt.</w:t>
      </w:r>
    </w:p>
    <w:p>
      <w:pPr/>
      <w:r>
        <w:rPr/>
        <w:t xml:space="preserve">Kárkifizetésekre a biztosítók a tavalyi utolsó negyedévben 0,7 százalékkal fordítottak többet, mint 2023 júliusa és szeptembere között. Éves szinten összességében 7 százalékkal bővült a kárráfordítások mértéke, ami szintén fékeződést jelez. A kártérítések növekedésének lassulása visszafoghatja a díjak emelkedését is.</w:t>
      </w:r>
    </w:p>
    <w:p>
      <w:pPr/>
      <w:r>
        <w:rPr/>
        <w:t xml:space="preserve">Az egyéb járműkategóriák esetében az egyedi járművek többségénél egy számjegyű, a taxiknál, nagyobb autóbuszoknál és teherautóknál viszont 10-16 százalék között volt az éves díjemelkedés mértéke. A flottás járművek szinte mindegyikénél kétszámjegyű éves díjnövekedés volt látható, ezen belül a nagyobb buszoknál – ahol ugyanakkor menet közben jelentősen csökkent az állomány, tehát változott az összetétel – 74 százalékkal nőtt a díj 2023-ban.</w:t>
      </w:r>
    </w:p>
    <w:p>
      <w:pPr/>
      <w:r>
        <w:rPr/>
        <w:t xml:space="preserve">A pénzügyi felügyelet 2021-től negyedévente teszi közzé a kgfb díjak és károk alakulását bemutató indexét, az általa működtetett, biztosító adatszolgáltatáson alapuló Központi Kgfb Tételes Adatbázis (KKTA) segítségével. Az MNB honlapjának külön felületén színes infografika segítségével mutatja be a friss adatokat, amelyek 2016 I. negyedévéhez viszonyítva jelzik a személygépkocsik állománydíjának, illetve a többi járműosztály átlagdíjainak éves és negyedéves változását.</w:t>
      </w:r>
    </w:p>
    <w:p>
      <w:pPr/>
      <w:r>
        <w:rPr/>
        <w:t xml:space="preserve">A Kgfb-index rendszeres közzététele a fogyasztók és a közvélemény pontos, átlátható tájékoztatását és a verseny élénkülését segíti elő. A közzétett adatok az átlagos változást mutatják, az egyedi kgfb szerződéseknél ezek mértéke eltérő lehet. Ha egy ügyfél a folyamatokat, s egyedi szerződését áttekintve nincs megelégedve kgfb díjával és/vagy a szolgáltatás minőségével, szerződéskötési évfordulóján lehetősége van a számára legkedvezőbb biztosítási ajánlat kiválasztására és új szerződés megkötésére.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https://hellosajto.hu/11608/a-kgfb-a-tavalyi-utolso-negyedevben-mar-alig-dragult-a-szemelyautoknal/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2187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2024-02-26T16:11:51+00:00</dcterms:created>
  <dcterms:modified xsi:type="dcterms:W3CDTF">2024-02-26T16:11:51+00:00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