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Már a Budapesti Értéktőzsdén is kereskedhetőek az MBH Bank első nemzetközi, MREL-képes kötvényei</w:t>
      </w:r>
      <w:bookmarkEnd w:id="0"/>
    </w:p>
    <w:p>
      <w:pPr/>
      <w:r>
        <w:rPr/>
        <w:t xml:space="preserve">Az MBH Bank bevezette az első nemzetközi, MREL-képes kötvényeit a Budapesti Értéktőzsde hitelpapír szekciójába, így azok innentől a hazai szabályozott piacon is hozzáférhetővé válnak a befektetők számára. A hitelintézet első nemzetközi kötvényprogramja tavaly ősszel került felállításra, amelynek keretében 2023 októberében 350 millió EUR össznévértékben kötvényeket bocsátott ki. Az MBH Bank célja a kötvények BÉT-re való bevezetésével, hogy hozzájáruljon a hazai tőkepiac fejlesztéséhez, valamint a befektetők számára elérhető minél változatosabb befektetési eszköztár megteremtéséhez.</w:t>
      </w:r>
    </w:p>
    <w:p>
      <w:pPr/>
      <w:r>
        <w:rPr/>
        <w:t xml:space="preserve">Az MBH Bank első nemzetközi kötvénykibocsátására 2023 őszén került sor. A felállított 1,5 milliárd euró keretösszegű EMTN (Euro Medium Term Note) kötvényprogram keretében 2023. október 19-án 350 millió EUR össznévértékben, 4 éves futamidejű, 3 év után visszaváltható, rendes fedezetlen követelésnek minősülő (Senior Preferred) kötvények kerültek kibocsátásra. A kötvények kamata az első három évben fix, évi 8,625 százalék. A kötvénykibocsátás célja a bank MREL-követelményeknek, vagyis a szavatoló tőkére és leírható vagy átalakítható kötelezettségekre vonatkozó minimumkövetelményeknek való megfelelése volt.</w:t>
      </w:r>
    </w:p>
    <w:p>
      <w:pPr/>
      <w:r>
        <w:rPr/>
        <w:t xml:space="preserve">A kibocsátást követően 2023 októberében – a piaci gyakorlatnak megfelelően – elsőként arra a luxemburgi tőzsdére vezette be a kötvényt az MBH Bank, melynek felügyelete jóváhagyta az 1,5 milliárd eurós kötvényprogramot. A nemzetközi tőzsdei bevezetés célja az volt, hogy a befektetők egy szabályozott piacon is kereskedni tudjanak a kötvénnyel.</w:t>
      </w:r>
    </w:p>
    <w:p>
      <w:pPr/>
      <w:r>
        <w:rPr/>
        <w:t xml:space="preserve">Mostantól pedig már a Budapesti Értéktőzsdén is kereskedhetőek az MBH Bank első nemzetközi, MREL-képes kötvényei, miután a társaság sikeresen bevezette azokat a tőzsde hitelpapír szekciójába. A BÉT-re történő keresztlistázással a befektetők már a hazai piacon is kereskedhetnek a kötvényekkel.</w:t>
      </w:r>
    </w:p>
    <w:p>
      <w:pPr/>
      <w:r>
        <w:rPr/>
        <w:t xml:space="preserve">„A tavalyi, sikeres nemzetközi kötvénykibocsátásunk után szeretnénk a hazai befektetők számára is könnyen hozzáférhetővé tenni a kötvényeinket. Úgy gondoljuk, hogy hazánk egyik vezető hitelintézeteként kiemelt szerepünk van abban, hogy a lehetőségeinkhez mérten bővítsük a jelenleg elérhető pénzügyi eszközök palettáját. Emellett azt is gondoljuk, hogy ezen kötvényünk bevezetésével közvetetten hozzájárulhatunk a hazai tőkepiac fejlesztéséhez is” – jegyezte meg a kötvénybevezetés kapcsán Brezina Szabolcs, az MBH Bank pénz- és tőkepiacokért, valamint befektetési szolgáltatásokért felelős ügyvezető igazgatója (egyben az MBH Befektetési Bank vezérigazgatója).</w:t>
      </w:r>
    </w:p>
    <w:p>
      <w:pPr/>
      <w:r>
        <w:rPr/>
        <w:t xml:space="preserve">"Az MBH Bank aktívan van jelen a hazai tőkepiacon, így útjaink számos ponton keresztezték egymást az elmúlt években, évtizedekben. Jelen kötvénybevezetés egy újabb mérföldkő a társaság és a Budapesti Értéktőzsde közös történetében, amely révén a hazai befektetők lehetőségei tovább szélesednek, ezzel pedig, a BÉT stratégiai törekvésének jegyében, tovább épül a tőkepiaci ökoszisztéma. Gratulálok a keresztlistázáshoz, és bízom benne, hogy az MBH Bank az eredeti kibocsátáshoz hasonlóan a hazai parketten is megtalálja vele a számításait!" – tette hozzá Végh Richárd, a Budapesti Értéktőzsde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https://hellosajto.hu/11385/mar-a-budapesti-ertektozsden-is-kereskedhetoek-az-mbh-bank-elso-nemzetkozi-mrel-kepes-kotvenyei/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2EEFA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2024-02-19T20:08:02+00:00</dcterms:created>
  <dcterms:modified xsi:type="dcterms:W3CDTF">2024-02-19T20:08:02+00:00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