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Közép-kelet-európai bankpiaci akvizíciós tanulmány 2023</w:t>
      </w:r>
      <w:bookmarkEnd w:id="0"/>
    </w:p>
    <w:p>
      <w:pPr/>
      <w:r>
        <w:rPr/>
        <w:t xml:space="preserve">Rekordszintű nyereség a közép-kelet-európai bankoknál – A magas kamatkörnyezet növeli a tőkebázist potenciális akvizíciókhoz</w:t>
      </w:r>
    </w:p>
    <w:p>
      <w:pPr/>
      <w:r>
        <w:rPr/>
        <w:t xml:space="preserve">A Deloitte immár hatodik éve tette közzé a közép-kelet-európai (KKE) banki fúziókról és felvásárlásokról szóló tanulmányát. A kelet-közép-európai bankszektor számos nehézséggel szembesült az elmúlt években, úgymint COVID-járvány utóhatások, geopolitikai feszültségek, magas infláció. A kihívások ellenére a szektor továbbra is erős rugalmasságot mutat, és 2023-ban rekordmagas jövedelmezőséget ért el.</w:t>
      </w:r>
    </w:p>
    <w:p>
      <w:pPr/>
      <w:r>
        <w:rPr/>
        <w:t xml:space="preserve">A tanulmányról</w:t>
      </w:r>
    </w:p>
    <w:p>
      <w:pPr/>
      <w:r>
        <w:rPr/>
        <w:t xml:space="preserve">2023-ban a közép-kelet-európai bankszektorban csökkent a tranzakciós aktivitás. A magas kamatkörnyezet következtében az árazásban mutatkozó különbség továbbra is visszafogja az eladói motivációkat. Továbbá a magas kamatkörnyezet megnövekedett kamatmarzson keresztüli pozitív jövedelmezőségi hatása kevesebb eladót hoz eladási kényszerbe. Ezzel együtt további konszolidáció várható azokon a piacokon, ahol a vezető nemzetközi bankcsoportok nem rendelkeznek stratégiai piaci részesedéssel.</w:t>
      </w:r>
    </w:p>
    <w:p>
      <w:pPr/>
      <w:r>
        <w:rPr/>
        <w:t xml:space="preserve">A Deloitte KKE bankpiaci akvizíciós tanulmányának 6. kiadása átfogó elemzést kínál a régió bankszektorának jelenlegi helyzetéről. Rávilágít az ágazat előtt álló és a tranzakciós kedvet befolyásoló legfontosabb kihívásokra és lehetőségekre. A tanulmány kitér a makrogazdasági tényezőkre, a bankpiaci dinamikára, a tranzakciós trendekre, és áttekintést kínál a fintech szektoron belüli fejleményekről. Reméljük, kiadványunk értékes olvasmány lesz a bankok, pénzintézetek, befektetők és minden egyéb, a közép-kelet-európai bankszektor iránt érdeklődő fél számára. </w:t>
      </w:r>
    </w:p>
    <w:p>
      <w:pPr/>
      <w:r>
        <w:rPr/>
        <w:t xml:space="preserve">A tanulmány főbb megállapításai:</w:t>
      </w:r>
    </w:p>
    <w:p>
      <w:pPr/>
      <w:r>
        <w:rPr/>
        <w:t xml:space="preserve">Az elmúlt években a kelet-közép-európai bankpiac számos nehézséggel nézett szembe, úgymint COVID-járvány utóhatások, geopolitikai feszültségek, magas infláció. A kihívások ellenére a szektor továbbra is erős rugalmasságot mutat, és 2023-ban rekordmagas jövedelmezőséget ért el.</w:t>
      </w:r>
    </w:p>
    <w:p>
      <w:pPr/>
      <w:r>
        <w:rPr/>
        <w:t xml:space="preserve">A hitelkereslet és ezáltal az eszközállomány növekedésére kihívást jelentő gazdasági feltételek mellett a tőkemegfelelés továbbra is erős maradt, a nemteljesítő hitelek aránya pedig csökkent a régióban. </w:t>
      </w:r>
    </w:p>
    <w:p>
      <w:pPr/>
      <w:r>
        <w:rPr/>
        <w:t xml:space="preserve">2023-ban a bankszektor jövedelmezősége rekordszintet ért el Közép-Kelet-Európában a megemelkedett kamatkörnyezet és a relatíve alacsony kockázati költségek következtében. A kimagasló profitráta normalizálódása várható 2024-ben az olyan tényezőknek köszönhetően, mint a lassuló infláció, így az irányadó kamatlábak várakozásoknak megfelelő csökkentése, valamint a magasabb kamatkörnyezet miatt potenciálisan megemelkedő kockázati költségek.</w:t>
      </w:r>
    </w:p>
    <w:p>
      <w:pPr/>
      <w:r>
        <w:rPr/>
        <w:t xml:space="preserve">A bankpiaci tranzakciós aktivitás 2023-ban lassult a KKE régióban. A hozamkörnyezetből adódóan az árazásban mutatkozó különbség és a kiemelkedő jövedelmezőség együttesen csökkenthetik az eladók motivációját. A kelet-közép-európai bankpiacokon azonban továbbra is folytatódhat a konszolidációs trend, különösen a gyengébb tőkepozícióval rendelkező kisebb bankoknál léphet fel eladási kényszer, amennyiben az eszközminőség romlik a megemelkedett kamatlábak miatt. A kiemelkedő nyereségrátáknak köszönhetően pedig a potenciális felvásárók erős tőkebázissal fognak rendelkezni a tranzakciók végrehajtásához.</w:t>
      </w:r>
    </w:p>
    <w:p>
      <w:pPr/>
      <w:r>
        <w:rPr/>
        <w:t xml:space="preserve">A kelet-közép-európai régió legaktívabb piacai a tranzakciók számát tekintve Magyarország (7 tranzakció), Szerbia (4 tranzakció), a balti országok (3 tranzakció), Csehország (3 tranzakció), és Románia voltak (3 tranzakció) 2022 januárja és 2023 decembere között.</w:t>
      </w:r>
    </w:p>
    <w:p>
      <w:pPr/>
      <w:r>
        <w:rPr/>
        <w:t xml:space="preserve">Az elmúlt évek konszolidációs hulláma során a Deloitte Pénzügyi Tanácsadási csapata számos tranzakcióban vett részt, a 2023-ban megkötött ügyletek többségében az eladói vagy a vevői oldalt közvetlenül támogattuk. A bankpiacok jelenlegi dinamikája alapján és a fokozatosan csökkenő kamatkörnyezet következményeként a következő években a konszolidáció további folytatódására számítunk. - foglalta össze Márton Albert, a Deloitte Pénzügyi Tanácsadás partnere. </w:t>
      </w:r>
    </w:p>
    <w:p>
      <w:pPr/>
      <w:r>
        <w:rPr/>
        <w:t xml:space="preserve">Historikusan a banki M&amp;A tranzakciós aktivitás jövedelmezőségi és így tőkehelyzet turbulenciák esetén emelkedik meg. A magas kamatkörnyezetnek egyelőre a pozitív hatása érződik a megemelkedett kamatmarzson keresztül, megemelkedett kockázati költségek nem látszanak. Amennyiben ez megváltozik, az stimulust adhat a tranzakciós aktivitásnak. - mondta el Csomor Csaba, a Deloitte Pénzügyi Tanácsadás igazgatója. </w:t>
      </w:r>
    </w:p>
    <w:p>
      <w:pPr/>
      <w:r>
        <w:rPr/>
        <w:t xml:space="preserve">A tanulmány megtekintése itt.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Márton Albert, Partner</w:t>
      </w:r>
    </w:p>
    <w:p>
      <w:pPr>
        <w:numPr>
          <w:ilvl w:val="0"/>
          <w:numId w:val="1"/>
        </w:numPr>
      </w:pPr>
      <w:r>
        <w:rPr/>
        <w:t xml:space="preserve">Deloitte Magyarország</w:t>
      </w:r>
    </w:p>
    <w:p>
      <w:pPr>
        <w:numPr>
          <w:ilvl w:val="0"/>
          <w:numId w:val="1"/>
        </w:numPr>
      </w:pPr>
      <w:r>
        <w:rPr/>
        <w:t xml:space="preserve">+36 1 428 6800</w:t>
      </w:r>
    </w:p>
    <w:p>
      <w:pPr>
        <w:numPr>
          <w:ilvl w:val="0"/>
          <w:numId w:val="1"/>
        </w:numPr>
      </w:pPr>
      <w:r>
        <w:rPr/>
        <w:t xml:space="preserve">amarton@deloittece.com</w:t>
      </w:r>
    </w:p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https://hellosajto.hu/11353/kozep-kelet-europai-bankpiaci-akvizicios-tanulmany-2023/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65CBF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2024-02-16T16:11:30+00:00</dcterms:created>
  <dcterms:modified xsi:type="dcterms:W3CDTF">2024-02-16T16:11:30+00:00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