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Erős pezsgés a naperőművek piacán</w:t>
      </w:r>
      <w:bookmarkEnd w:id="0"/>
    </w:p>
    <w:p>
      <w:pPr/>
      <w:r>
        <w:rPr/>
        <w:t xml:space="preserve">A naperőművek értékesítési és finanszírozási kihívásai</w:t>
      </w:r>
    </w:p>
    <w:p>
      <w:pPr/>
      <w:r>
        <w:rPr/>
        <w:t xml:space="preserve">Élénk a naperőművek tranzakciós piaca, azonban az állam által nemrég bejelentett, az MVM számára a külföldi tulajdonszerzés esetére létesített elővételi jog fékezheti ezt.  Az elővételi jog gyakorlásának részletei még nem ismertek, a piaci szereplők a következő hónapokban feltehetőleg többször is konzultálnak erről a döntéshozókkal – derült ki a KPMG erről szóló üzleti reggelijén.</w:t>
      </w:r>
    </w:p>
    <w:p>
      <w:pPr/>
      <w:r>
        <w:rPr/>
        <w:t xml:space="preserve">A naperőművek tranzakciós piaca felfutás előtt áll, mivel eladói és vevői oldalon is sok a szereplő a hazai pályán – mondta Simonyi Tamás a KPMG szenior igazgatója a társaság mai, Naperőművek Értékesítésének és Finanszírozásának Kihívásai című üzleti beszélgetésén, ahol több mint 100 magyar és külföldi piaci szereplő képviseltette magát. </w:t>
      </w:r>
    </w:p>
    <w:p>
      <w:pPr/>
      <w:r>
        <w:rPr/>
        <w:t xml:space="preserve">Eladásban vagy vételben érdekelt piaci szereplő egyre nagyobb számban van jelen, mivel Magyarországon az elmúlt években 2 gigawattnyi 5 és 100 megawatt közötti kapacitású erőmű épült fel és további 1 gigawattnyi van jól előkészített, akár már ebben a stációban értékesíthető (ready to build) fázisban. Emellett várhatóan egyre nagyobb számban fognak megjelenni a piacon a tároló kapacitással is rendelkező, tehát sokkal rugalmasabb villamosenergia termelők is.</w:t>
      </w:r>
    </w:p>
    <w:p>
      <w:pPr/>
      <w:r>
        <w:rPr/>
        <w:t xml:space="preserve">Az érdeklődés a vevői oldalon is erős. A magyar és külföldi szakmai befektetők folyamatosan monitorozzák a befektetési lehetőségeket, és a villamosenergia árak elmúlt években tapasztalt volatilis ármozgása miatt számos magyar nagyvállalat ismerte fel, hogy napenergiával komoly lépéseket tehet a költségek és az ebből fakadó pénzügyi kockázatok csökkentéséért.</w:t>
      </w:r>
    </w:p>
    <w:p>
      <w:pPr/>
      <w:r>
        <w:rPr/>
        <w:t xml:space="preserve">A siker esélyét növeli, ha az eladói oldal idejében megteszi a szükséges lépéseket a tranzakció előtt. Ez alapvetően egy átlátható és transzparens üzleti, technológiai és jogi dokumentáció elkészítését jelenti, aminek birtokában az érdeklődők könnyebben és gyorsabban hozhatják meg befektetési döntéseiket, így növelhető a verseny az eladó sorba kerülő vállalkozás iránt.</w:t>
      </w:r>
    </w:p>
    <w:p>
      <w:pPr/>
      <w:r>
        <w:rPr/>
        <w:t xml:space="preserve">A tranzakciókat lelassíthatja, a felkészülést pedig különösen indokolttá teszi, hogy 2024 januárjától a magyar állam elővételi jogot létesített a Magyar Villamos Művek Zrt. számára, ha a potenciális vevő külföldi illetőségű. Az elővásárlási jog gyakorlásának részletei még nem ismertek, a piaci szereplők a következő hónapokban feltehetőleg több körben konzultálnak erről a döntéshozókkal. Az elővásárlási jog létesítéséről és működéséről dr. Alföldy-Boruss Márk, az Energiaügyi Minisztérium helyettes államtitkára tájékoztatta a konferencia résztvevőit.</w:t>
      </w:r>
    </w:p>
    <w:p>
      <w:pPr/>
      <w:r>
        <w:rPr/>
        <w:t xml:space="preserve">Ugyanakkor a tranzakciók létrejöttét megkönnyíti, hogy a finanszírozó bankoknak alapvetően jók a tapasztalatai naperőmű projektek hitelezésével – derült ki a konferencia panelbeszélgetésén, ahol olyan banki szereplők vettek részt, akik több százmillió eurós naperőműves hitelportfóliót építettek fel az utóbbi években a magyar piacon. A bankok természetesen törekednek a hitelkockázatok csökkentésére, maguk is igénylik az alapos átvilágítást, és általában elvárják, hogy a tranzakcióban érintett kapacitás 70-80 százalékára legyen érvényes villamosenergia-vásárlási szerződése (PPA) az erőműnek, ennél kisebb lekötött kapacitás esetén szigorúbb hitellimiteket kell megállapítaniuk.  </w:t>
      </w:r>
    </w:p>
    <w:p>
      <w:pPr/>
      <w:r>
        <w:rPr/>
        <w:t xml:space="preserve">Az üzleti reggelin a KPMG spanyol és román szakértői bemutatták saját piacuk legfontosabb jellegzetességeit, amelyre válaszul a panelbeszélgetés régióban aktív szereplői, így Jakab Tamás az Enery M&amp;A vezetője és Derek Qiu a CMC Europe képviseletében tudott értékes tapasztalatokat megosztani.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Simonyi Tamás, szenior igazgató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https://hellosajto.hu/11077/eros-pezsges-a-naperomuvek-piacan/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4AA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2024-02-07T18:03:18+00:00</dcterms:created>
  <dcterms:modified xsi:type="dcterms:W3CDTF">2024-02-07T18:03:18+00:00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