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Richter részvényvásárlással szerez stratégiai részesedést a Formycon vállalatban</w:t>
      </w:r>
      <w:bookmarkEnd w:id="0"/>
    </w:p>
    <w:p>
      <w:pPr/>
      <w:r>
        <w:rPr/>
        <w:t xml:space="preserve">A Richter Gedeon Nyrt. és a Formycon AG (FWB: FYB) a mai napon bejelentették, hogy a Richter a Formycon stratégiai befektetőjévé válik, a tőkeemelés után létrejött alaptőke 9,08%-ának készpénzes jegyzését követően.</w:t>
      </w:r>
    </w:p>
    <w:p>
      <w:pPr/>
      <w:r>
        <w:rPr/>
        <w:t xml:space="preserve">Mindkét cég felismerte a bioszimiláris készítményekben rejlő hatalmas potenciált és erre magas szintű szakértelemmel párosuló, egymáshoz közel álló stratégiai válaszokat adtak.</w:t>
      </w:r>
    </w:p>
    <w:p>
      <w:pPr/>
      <w:r>
        <w:rPr/>
        <w:t xml:space="preserve">A Formycon, mint a bioszimiláris termékek egyik vezető független, specializált fejlesztője és a Richter, mint jelentős kutatási és gyártási kapacitásokkal rendelkező multinacionális vállalat, kiegészítő képességeket társítanak ugyanahhoz a jövőképhez, ami mellett egyaránt elkötelezték magukat – javítani a betegek biológiai terápiákhoz való hozzáférését.</w:t>
      </w:r>
    </w:p>
    <w:p>
      <w:pPr/>
      <w:r>
        <w:rPr/>
        <w:t xml:space="preserve">A Formycon Igazgatósági és Felügyelő bizottságának határozatai alapján zártkörű kibocsátás keretében 9,08%-os tőkeemelést valósított meg, amit a Richter készpénzes teljesítés mellett jegyzett. A Társaság jegyzett alaptőkéje a kibocsátási korlát részleges felhasználásával a jelenlegi 16.053.025,00 EUR értékről 1.603.877,00 EUR növekménnyel összesen 17.656.902,00 EUR-ra emelkedik 1.603.877 db új, egyenként 1,00 EUR névértékű törzsrészvény kibocsátásával, pénzbeli hozzájárulás ellenében. Az árazás részvényenként 51.65 EUR, ami a középértéke a részvények mai XETRA-n kialakult záróárfolyamának és a jegyzést megelőző utolsó harminc kereskedési nap kereskedési mennyiséggel súlyozott átlagárának. A meglévő részvényesek jegyzési jogának kizárását az új részvényekre a Működési Szabályzat 4. § (3) bekezdése teszi lehetővé. A Richterre vonatkozóan egy szokásos, 180 napos tartási kötelezettség lép életbe.</w:t>
      </w:r>
    </w:p>
    <w:p>
      <w:pPr/>
      <w:r>
        <w:rPr/>
        <w:t xml:space="preserve">A Formyconba áramló tőke 82.84 millió EUR összeget tesz ki, amit elsősorban a társaság meglévő bioszimiláris projektjeinek, különös tekintettel az FYB206-nak, az FYB208-nak és a FYB209-nek a továbbfejlesztésére fordítanak. Fentiek mellett az idei év második felére tervezik egy új bioszimiláris jelölt, az FYB210 fejlesztésének elindítását is.</w:t>
      </w:r>
    </w:p>
    <w:p>
      <w:pPr/>
      <w:r>
        <w:rPr/>
        <w:t xml:space="preserve">„A Formycon ma bejelentett tőkeemelése tovább erősíti stratégiai partnerségünket, ezáltal a betegek biológiai készítményekhez való szélesebb körű hozzáférését kívánjuk világszerte előmozdítani. Képességeink ilymódon történő egyesítése mindkét fél számára méretgazdaságossági előnyöket és új üzleti lehetőségeket kínál, miközben biztosítja az üzleti sikerhez elengedhetetlen tudás- és tapasztalatátadást ebben a gyorsan fejlődő iparágban” – tette hozzá Orbán Gábor, a Richter vezérigazgatója.</w:t>
      </w:r>
    </w:p>
    <w:p>
      <w:pPr/>
      <w:r>
        <w:rPr/>
        <w:t xml:space="preserve">„A nagy volumenű és költséghatékony gyártás, a bioszimiláris értéklánc kulcsfontosságú elemei és fontosságuk egyre növekszik. Az elmúlt néhány év során megbízható és sikeres együttműködést alakítottunk ki a Richter Gedeonnal, kihasználva annak legkorszerűbb gyártási képességeit és nagyon örülök, hogy ezt a partneri kapcsolatot tovább szélesíthetjük. Ez a tranzakció mindkét fél számára lehetővé teszi, hogy közösen aknázzák ki a hosszú távú stratégiai lehetőségeket" – mondta Dr. Stefan Glombitza, a Formycon AG vezérigazgatója.</w:t>
      </w:r>
    </w:p>
    <w:p>
      <w:pPr/>
      <w:r>
        <w:rPr/>
        <w:t xml:space="preserve">“Finanszírozási szempontból a készpénzes tőkebeáramlás biztosítja versenyképes bioszimiláris termékeink folyamatos és párhuzamos fejlesztését. Ezzel egyidejűleg elismert, együttműködő partnerünkkel bővítjük kiemelt befektetőink körét, akit Felügyelőbizottságunk és Ügyvezetésünk is egyértelműen üdvözöl” – tette hozzá Enno Spillner, a Formycon pénzügyi igazgatója.</w:t>
      </w:r>
    </w:p>
    <w:p>
      <w:pPr/>
      <w:r>
        <w:rPr/>
        <w:t xml:space="preserve">Richter - HáttéradatokA budapesti székhelyű Richter Gedeon Nyrt. (www.gedeonrichter.com) az egyik legnagyobb közép-kelet-európai gyógyszeripari vállalat, amely Nyugat-Európában, Kínában, Latin-Amerikában, valamint Ausztráliában is közvetlen piaci jelenlétet épített ki. A 2022. év végén a 3,9 MrdEUR (4,1 MrdUSD) tőzsdei értékkel bíró vállalat ugyanebben az évben mintegy 2,0 MrdEUR (2,1 MrdUSD) konszolidált árbevételt ért el. A Társaság termékpalettája számos fontos terápiás területet – nőgyógyászati, központi idegrendszeri, szív- és érrendszeri – ölel fel. A Közép-Kelet Európa legnagyobb K+F központjával rendelkező vállalatnál az eredeti kutatás a központi idegrendszer megbetegedéseire irányul. Széleskörűen elismert szteroid-kémiai ismeretei révén a Richter a világ egyik legjelentősebb vállalata a nőgyógyászat területén. A Társaság jelentős erőforrásokat fordít bioszimiláris termékek fejlesztésére is.</w:t>
      </w:r>
    </w:p>
    <w:p>
      <w:pPr/>
      <w:r>
        <w:rPr/>
        <w:t xml:space="preserve">Formycon – HáttéradatokA Formycon (Frankfurti Értéktőzsde: FYB / ISIN: DE000A1EWVY8 / WKN: A1EWVY) a kiváló minőségű gyógyszerészeti készítmények, különösen a bioszimiláris gyógyszerek egyik vezető, független fejlesztője. A vállalat a szemészeti, immunológiai és más kulcsfontosságú krónikus betegségek kezelésére összpontosít, a teljes értékláncot lefedi a termékfejlesztéstől a III. klinikai fázisig, ideértve a forgalomba hozatali engedélyhez szükséges dokumentációk elkészítését is. Bioszimiláris gyógyszereivel a Formycon nagymértékben hozzájárul ahhoz, hogy a lehető legtöbb beteg juthasson hozzá létfontosságú és megfizethető gyógyszerekhez. Az FYB201 egy, a Formycon által kifejlesztett, piacra bevezetett bioszimiláris készítmény. További öt készítmény áll jelenleg fejlesztés alatt.</w:t>
      </w:r>
    </w:p>
    <w:p>
      <w:pPr/>
      <w:r>
        <w:rPr/>
        <w:t xml:space="preserve">Bioszimiláris készítmények – Háttéradatok1980-as években történt bevezetésük óta a biológia készítmények forradalmasították az olyan súlyos betegségek kezelését, mint a rák, diabétesz, ízületi gyulladás, szklerózis multiplex és a különböző szembetegségek. A következő években ezen biológiai gyógyszerek közül sokuk szabadalmi oltalma le fog járni és 2025-re a hozzávetőleg 100 milliárd USA dollár bevételt jelentő készítmények szabadalma megszűnik. A bioszimiláris készítmények ezen, lejárt szabadalmi védettségű gyógyszereknek a változatai. Ezek a gyógyszerek erősen szabályozott piacokon (ilyen az EU, az Egyesült Államok, Japán, Kanada, Ausztrália piacai) szigorú előírásoknak megfelelve, a bioszimiláris és az originális referencia termék között bizonyított hasonlóság alapján kerülnek jóváhagyásra. Jelenleg a bioszimiláris termékek globális árbevételét több mint 15 milliárd USD-ra becsülik. Elemzők becslései alapján 2030-ra ez az összeg akár 74 milliárd USA dollár fölé is emelkedhet.</w:t>
      </w:r>
    </w:p>
    <w:p>
      <w:pPr/>
      <w:r>
        <w:rPr/>
        <w:t xml:space="preserve">Sajtókapcsolat:</w:t>
      </w:r>
    </w:p>
    <w:p>
      <w:pPr>
        <w:numPr>
          <w:ilvl w:val="0"/>
          <w:numId w:val="1"/>
        </w:numPr>
      </w:pPr>
      <w:r>
        <w:rPr/>
        <w:t xml:space="preserve">Beke Zsuzsa, PR és kormányzati kapcsolatok vezető</w:t>
      </w:r>
    </w:p>
    <w:p>
      <w:pPr>
        <w:numPr>
          <w:ilvl w:val="0"/>
          <w:numId w:val="1"/>
        </w:numPr>
      </w:pPr>
      <w:r>
        <w:rPr/>
        <w:t xml:space="preserve">+36 1 431 4888</w:t>
      </w:r>
    </w:p>
    <w:p>
      <w:pPr>
        <w:numPr>
          <w:ilvl w:val="0"/>
          <w:numId w:val="1"/>
        </w:numPr>
      </w:pPr>
      <w:r>
        <w:rPr/>
        <w:t xml:space="preserve">zs.beke@richter.hu</w:t>
      </w:r>
    </w:p>
    <w:p>
      <w:pPr/>
      <w:r>
        <w:rPr/>
        <w:t xml:space="preserve">Eredeti tartalom: Richter Gedeon Nyrt.</w:t>
      </w:r>
    </w:p>
    <w:p>
      <w:pPr/>
      <w:r>
        <w:rPr/>
        <w:t xml:space="preserve">Továbbította: Helló Sajtó! Üzleti Sajtószolgálat</w:t>
      </w:r>
    </w:p>
    <w:p>
      <w:pPr/>
      <w:r>
        <w:rPr/>
        <w:t xml:space="preserve">
          Ez a sajtóközlemény a következő linken érhető el:
          <w:br/>
          https://hellosajto.hu/10737/a-richter-reszvenyvasarlassal-szerez-strategiai-reszesedest-a-formycon-vallalatban/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2024-01-30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Richter Gedeon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F3EE2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2024-01-30T18:08:19+00:00</dcterms:created>
  <dcterms:modified xsi:type="dcterms:W3CDTF">2024-01-30T18:08:19+00:00</dcterms:modified>
</cp:coreProperties>
</file>

<file path=docProps/custom.xml><?xml version="1.0" encoding="utf-8"?>
<Properties xmlns="http://schemas.openxmlformats.org/officeDocument/2006/custom-properties" xmlns:vt="http://schemas.openxmlformats.org/officeDocument/2006/docPropsVTypes"/>
</file>