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Megtéveszthette a fogyasztókat a Foodora? – a GVH utánajár</w:t>
      </w:r>
      <w:bookmarkEnd w:id="1"/>
    </w:p>
    <w:p>
      <w:pPr/>
      <w:r>
        <w:rPr/>
        <w:t xml:space="preserve">A Gazdasági Versenyhivatal (GVH) vizsgálatot indított a Foodora online ételrendelési portál tulajdonosával szemben. A vállalkozás a nemzeti versenyhatóság gyanúja szerint nem tájékoztatta megfelelően a fogyasztókat a 2023 őszén hirdetett kuponakciójáról, és az általa alkalmazott rendszerhasználati díj felszámításáról.</w:t>
      </w:r>
    </w:p>
    <w:p>
      <w:pPr/>
      <w:r>
        <w:rPr/>
        <w:t xml:space="preserve">A GVH versenyfelügyeleti eljárást indított a Delivery Hero Hungary Kft.-vel szemben, amely az egyik legnagyobb hazai online ételrendelési portál, a Foodora tulajdonosa és üzemeltetője.</w:t>
      </w:r>
    </w:p>
    <w:p>
      <w:pPr/>
      <w:r>
        <w:rPr/>
        <w:t xml:space="preserve">A vállalkozás a 2023. szeptember 4. és 2023. október 31. közötti kuponakciójában 2000 Ft kedvezményre és ingyenes szállításra jogosító kupont hirdetett a fogyasztóknak. A Gazdasági Versenyhivatal azonban észlelte, hogy a cég vélhetően nem nyújtott megfelelő tájékoztatást arról, hogy e kuponra csak akkor jogosultak a fogyasztók, ha a rendelésük végösszege meghaladja a 6000 Ft-ot. A GVH észlelte továbbá, hogy az eljárás alá vont vállalkozás az általa alkalmazott rendszerhasználati díj felszámításáról, annak bevezetése óta időszerűtlen módon tájékoztatja a fogyasztókat. Ezen magatartásokkal a vállalkozás valószínűsíthetően megsértette a vonatkozó fogyasztóvédelmi szabályokat.</w:t>
      </w:r>
    </w:p>
    <w:p>
      <w:pPr/>
      <w:r>
        <w:rPr/>
        <w:t xml:space="preserve">A versenyfelügyeleti eljárás megindítása nem jelenti annak kimondását, hogy a vállalkozás a jogsértést elkövette. Az eljárás a tények tisztázására és ezen keresztül a feltételezett jogsértés bizonyítására irányul. Az eljárás lefolytatására biztosított időtartam három hónap, amely indokolt esetben két alkalommal, egyenként legfeljebb két hónappal meghosszabbítható.</w:t>
      </w:r>
    </w:p>
    <w:p>
      <w:pPr/>
      <w:r>
        <w:rPr/>
        <w:t xml:space="preserve">Az ügy hivatali nyilvántartási száma: VJ/31/2023.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https://hellosajto.hu/9546/megteveszthette-a-fogyasztokat-a-foodora-a-gvh-utanajar/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DD38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2023-12-13T15:52:15+00:00</dcterms:created>
  <dcterms:modified xsi:type="dcterms:W3CDTF">2023-12-13T15:52:15+00:00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