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Változatlanul stabil és rendkívül tőkeerős a magyar bankrendszer</w:t>
      </w:r>
      <w:bookmarkEnd w:id="1"/>
    </w:p>
    <w:p>
      <w:pPr/>
      <w:r>
        <w:rPr/>
        <w:t xml:space="preserve">A hazai bankrendszer változatlanul stabil, sokkellenálló-képessége erős. A jövedelmezőség kiugró, amihez érdemben hozzájárult a jegybanki betéteken elért kamateredmény. A lakosság és a nem-banki pénzügyi intézmények bankrendszernél elhelyezett betétállománya csökkent, azonban a szektor likviditási tartaléka továbbra is bőséges. A hitel-betét mutató az elmúlt években látott szintről emelkedett, de továbbra is alacsony. Összhangban a nemzetközi folyamatokkal mind a vállalati, mind a háztartási hitelezés lassult, de továbbra is pozitív tartományban mozog. A hitelpiac idén elérheti mélypontját mindkét szegmensben. A nemteljesítő hitelek aránya alacsony. A ráta a vállalati szegmensben stagnált, a háztartási hitelek esetében csökkent, így összességében a portfólióminőség továbbra is megfelelő.</w:t>
      </w:r>
    </w:p>
    <w:p>
      <w:pPr/>
      <w:r>
        <w:rPr/>
        <w:t xml:space="preserve">A bizonytalan keresleti környezet, a magas infláció és a gazdasági növekedés lassulása a hitelezés csökkenéséhez vezetett Európában. Ezzel párhuzamosan a jegybankok restriktív monetáris politikája érdemben növelte a bankok nettó kamatjövedelmén keresztül a jövedelmezőséget, amely növekményből egyre több országban vonnak el – legalább részben – költségvetési vagy jegybanki intézkedésekkel. A dezinfláció folytatódásával és ezzel a kamatkörnyezet várt normalizálódásával a jelenlegi magas jövedelmezőség csökkenésére kell számítani, miközben a törékeny növekedési kilátások mellett az ingatlanpiaci túlértékeltség korrekciója kockázatként jelenik meg.</w:t>
      </w:r>
    </w:p>
    <w:p>
      <w:pPr/>
      <w:r>
        <w:rPr/>
        <w:t xml:space="preserve">A hazai lakáspiacon jelentősen mérséklődtek a tranzakciók, leginkább a keresletet meghatározó kedvezőtlen makrogazdasági tényezők és a hitelből megvalósuló lakásvásárlások visszaesése miatt. Ezáltal a lakásárak 2023 második negyedévében éves összevetésben enyhén mérséklődtek. A lakáspiaci túlértékeltség enyhült, de továbbra is magas. A kereskedelmiingatlan-piacon 2023 első félévében emelkedett a kihasználatlansági ráta mind a budapesti irodák, mind az ipar-logisztikai ingatlanok esetében, de historikusan továbbra sem tekinthetők magasnak. Pénzügyi stabilitási szempontból a növekvő kereskedelmiingatlan-piaci kockázatokat enyhíti a hitelintézetek projekthiteleken keresztüli mérsékelt kitettsége.</w:t>
      </w:r>
    </w:p>
    <w:p>
      <w:pPr/>
      <w:r>
        <w:rPr/>
        <w:t xml:space="preserve">Az alacsony lakossági betéti kamatok és a kormányzat állampapír-piaci kereslet növelését célzó intézkedéseinek versenyt erősítő hatása mellett tovább csökkent a lakosság és a nem-banki pénzügyi intézmények bankrendszernél elhelyezett betétállománya. A hitel-betét mutató főként a betétek kiáramlása miatt nőtt, de a felmerülő kockázatokat ellensúlyozza a szektor jelentős mértékű likviditási többlete.</w:t>
      </w:r>
    </w:p>
    <w:p>
      <w:pPr/>
      <w:r>
        <w:rPr/>
        <w:t xml:space="preserve">A bankrendszer tőkeellátottsága megfelelő. A szolvencia stresszteszt eredményei alapján markáns stressz esetén is csupán elhanyagolható mértékű tőkehiány jelentkezne szektorszinten, így a bankrendszer likviditási- és tőkehelyzete továbbra sem jelenti a hitelezés gátját.</w:t>
      </w:r>
    </w:p>
    <w:p>
      <w:pPr/>
      <w:r>
        <w:rPr/>
        <w:t xml:space="preserve">A jövedelmezőség az extraprofitadó és az egyéb kormányzati intézkedések hatása ellenére is kiugró, melyhez érdemben hozzájárult a jegybankkal szembeni kamateredmény. Ez a kiugró jövedelmezőségi szint azonban nem tartható fenn középtávon, így ismét a hatékonyság növekedése és a hitelezés mélyülése lehet a jövedelmezőség fő forrása. A bankok tőkemegfelelésének és hitelezési kapacitásainak jövőbeni alakulása szempontjából fontos, hogy az intézmények osztalékfizetési politikája konzervatív maradjon, és az idei év profitja jelentős részben a banki tartalékok bővítését szolgálja. A nemteljesítő hitelek aránya a vállalati szegmensben érdemben nem változott, a háztartási hitelek esetében egy, a moratórium lezárását követő technikai hatás miatt mérséklődött 2023 első félévében. Előretekintve a hitelportfólió több olyan szegmense is azonosítható, ahol növekedhetnek a hitelkockázatok. Ilyenek például a kamatstopban lévő kkv- és jelzáloghitelek, a kereskedelmiingatlanokat finanszírozó projekthitelek, valamint az államilag támogatott hitelek, amennyiben nem teljesülnek a kapcsolódó gyermekvállalási feltételek.</w:t>
      </w:r>
    </w:p>
    <w:p>
      <w:pPr/>
      <w:r>
        <w:rPr/>
        <w:t xml:space="preserve">Összhangban a nemzetközi folyamatokkal mind a vállalati, mind a háztartási hitelállomány éves növekedési üteme mérséklődött. Az éves hiteldinamika előrejelzésünk szerint idén érheti el a mélypontját mindkét szegmensben. A lakáshitelek új szerződéskötéseinek visszaesésében a piaci hitelek csökkenése mellett a támogatott hitelek mérséklődése is szerepet játszott. Utóbbi arra utal, hogy a hitelpiaci keresletre érdemben hat a gazdasági bizonytalanság, a reálbérek csökkenése és a fogyasztói bizalom romlása is, az infláció letörését szolgáló szigorú monetáris kondíciók mellett.</w:t>
      </w:r>
    </w:p>
    <w:p>
      <w:pPr/>
      <w:r>
        <w:rPr/>
        <w:t xml:space="preserve">http://www.mnb.hu/kiadvanyok/jelentesek/penzugyi-stabilitasi-jelentes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https://hellosajto.hu/9008/valtozatlanul-stabil-es-rendkivul-tokeeros-a-magyar-bankrendszer/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0F3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2023-11-28T18:16:05+00:00</dcterms:created>
  <dcterms:modified xsi:type="dcterms:W3CDTF">2023-11-28T18:16:05+00:00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