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BASF csoport rendkívüli tételek előtti EBIT-je egyezik az elemzők egyhangú véleményével 2023. III. negyedévében</w:t>
      </w:r>
      <w:bookmarkEnd w:id="1"/>
    </w:p>
    <w:p>
      <w:pPr/>
      <w:r>
        <w:rPr/>
        <w:t xml:space="preserve">A 2023. évi kilátások változatlanok.</w:t>
      </w:r>
    </w:p>
    <w:p>
      <w:pPr/>
      <w:r>
        <w:rPr/>
        <w:t xml:space="preserve">Árbevétel 2023. III. negyedévében: 15,7 milliárd euró (előző év azonos negyedéve: 21.9 milliárd €)</w:t>
      </w:r>
    </w:p>
    <w:p>
      <w:pPr/>
      <w:r>
        <w:rPr/>
        <w:t xml:space="preserve">Rendkívüli tételek előtti EBIT 2023. III. negyedévében: 0,6 milliárd euró (előző év azonos negyedéve: 1,3 milliárd €)</w:t>
      </w:r>
    </w:p>
    <w:p>
      <w:pPr/>
      <w:r>
        <w:rPr/>
        <w:t xml:space="preserve">Működési tevékenységekből származó cash flow-k 2023. III. negyed- évében: 2,7 milliárd euró (előző év azonos negyedéve: 2,3 milliárd €)</w:t>
      </w:r>
    </w:p>
    <w:p>
      <w:pPr/>
      <w:r>
        <w:rPr/>
        <w:t xml:space="preserve">Árbevétel és rendkívüli tételek előtti EBIT a teljes 2023. évben: a júliusban közzétett előrejelzési sávok alsóbb szintjein várható</w:t>
      </w:r>
    </w:p>
    <w:p>
      <w:pPr/>
      <w:r>
        <w:rPr/>
        <w:t xml:space="preserve">A BASF csoport árbevétele 15,7 milliárd euró volt 2023. III. negyedévében, ami 6,2 milliárd euróval maradt az előző év azonos negyedévi szint alatt. A csökkenés legfőbb okának a jelentősen alacsonyabb árak tulajdoníthatók, főként az Anyagok, a Vegyi anyagok és a Felületi technológiák szegmensben. A Mezőgazdasági megoldások szegmensben elért magasabb árak kedvező hatással voltak az eredményekre. Ezen kívül a kereskedelmi teljesítményt az összes szegmensben jellemző, jelentősen alacsonyabb mennyiségek terhelték. </w:t>
      </w:r>
    </w:p>
    <w:p>
      <w:pPr/>
      <w:r>
        <w:rPr/>
        <w:t xml:space="preserve">„Az értékesítési volumenek az összes vevő-specifikus iparágban jóval alacsonyabbak voltak, mint az előző év azonos negyedévében – mely alól csak az autóipar a kivétel” – mondta Dr. Martin Brudermüller, a BASF igazgatótanácsának elnöke a negyedéves adatokról a vállalat pénzügyi igazgatójával, Dr. Dirk Elvermann-nal közösen tartott előadásában.</w:t>
      </w:r>
    </w:p>
    <w:p>
      <w:pPr/>
      <w:r>
        <w:rPr/>
        <w:t xml:space="preserve">A működési tevékenységekből származó, rendkívüli tételek előtti bevétel (EBIT) az előző év azonos negyedévéhez képest 772 millió euróval 575 millió euróra csökkent.</w:t>
      </w:r>
    </w:p>
    <w:p>
      <w:pPr/>
      <w:r>
        <w:rPr/>
        <w:t xml:space="preserve">Ez összhangban van a BASF megbízásából 2023. októberében eljáró Vara Research elemzési szolgáltató elemzői becslésének 601 millió eurós átlagával. Az eredmény alakulása legfőképpen a Vegyi anyagok, az Élelmezés és gondozás, az Ipari megoldások és az Anyagok szegmens lényegesen alacsonyabb, rendkívüli tételek előtti EBIT-jének volt a következménye. Az eredmény az Egyéb szegmensben is nagymértékben csökkent. A Mezőgazdasági megoldások szegmens tetemesen növelte a rendkívüli tételek előtti EBIT értékét, míg a Felületi technológiák szegmens enyhén növelte az eredményt.</w:t>
      </w:r>
    </w:p>
    <w:p>
      <w:pPr/>
      <w:r>
        <w:rPr/>
        <w:t xml:space="preserve">Az EBIT-ben szereplő rendkívüli tételek mínusz 181 millió eurót tettek ki 2023. III. negyedévében, főként a szervezetátalakítási intézkedések miatt. Az EBIT a maga 394 millió eurós értékével jelentősen elmaradt az előző év azonos negyedévétől (1,3 milliárd €).</w:t>
      </w:r>
    </w:p>
    <w:p>
      <w:pPr/>
      <w:r>
        <w:rPr/>
        <w:t xml:space="preserve">2022. III. negyedévéhez képest az értékcsökkenés, amortizáció és rendkívüli tételek előtti működési eredmény (rendkívüli tételek előtti EBITDA) 780 millió euróval 1,5 milliárd euróra, az EBITDA pedig 892 millió euróval 1,4 milliárd euróra csökkent.</w:t>
      </w:r>
    </w:p>
    <w:p>
      <w:pPr/>
      <w:r>
        <w:rPr/>
        <w:t xml:space="preserve">A nettó eredmény mínusz 249 millió euró volt, szemben az előző év azonos negyedévében elért 909 millió euróval. Az alacsonyabb EBIT mellett e visszaesés meghatározó oka a Wintershall Dea – rendkívüli tételek miatt – összességében negatív eredménye volt.</w:t>
      </w:r>
    </w:p>
    <w:p>
      <w:pPr/>
      <w:r>
        <w:rPr/>
        <w:t xml:space="preserve">Az eszközök 2023. szeptember 30-án összesen 82,6 milliárd eurót tettek ki, ami 1,9 milliárd euróval kevesebb, mint a 2022. év végi érték. A nettó adósságállomány 2023. szeptember 30-án 18,9 milliárd euró volt. Ez a 2022. év végi értékhez képest 2,6 milliárd eurós növekedést, a 2023. június 30-i értékhez képest azonban 1,4 milliárd eurós csökkenést jelentett. A saját tőke aránya 2023. III. negyedévének végén kissé magasabb volt, mint 2022 végén, és 48,8%-on állt. "Mindez összességében a BASF pénzügyi erejét mutatja, erős mérleggel és jó hitelminősítéssel" – mondta Dr. Dirk Elvermann.</w:t>
      </w:r>
    </w:p>
    <w:p>
      <w:pPr/>
      <w:r>
        <w:rPr/>
        <w:t xml:space="preserve">A működési tevékenységből származó cash flow 2,7 milliárd euró volt 2023. III. negyedévében, ami meghaladja az előző év azonos negyedévében jelentett 2,3 milliárd eurót. "Ez figyelemre méltó javulás a jelentősen alacsonyabb nettó bevétel mellett" – magyarázta Elvermann. A nettó működő tőkéből felszabaduló pénzeszközök nagymértékben, 1,2 milliárd euróval javultak 2022. III. negyedévéhez képest, és 1,9 milliárd eurót tettek ki. A javulás elsősorban a készletek csökkenésének volt köszönhető. Az előző év azonos negyedévében kimutatott 1,3 milliárd eurót követően a szabad cash flow 2023. III. negyedévében összesen 1,5 milliárd euró volt.</w:t>
      </w:r>
    </w:p>
    <w:p>
      <w:pPr/>
      <w:r>
        <w:rPr/>
        <w:t xml:space="preserve">A megtakarítási programok 2026-ig évente összesen 1,1 milliárd euróval járulnak hozzá a költségvetéshez</w:t>
      </w:r>
    </w:p>
    <w:p>
      <w:pPr/>
      <w:r>
        <w:rPr/>
        <w:t xml:space="preserve">A BASF folyamatosan dolgozik a költségszerkezetén, hogy javítsa versenyképességét, különösen Európában. A vállalat 2023. február végén jelentette be az Európára összpontosító költségmegtakarítási programot, valamint a ludwigshafeni Verbund struktúrák kiigazítását.</w:t>
      </w:r>
    </w:p>
    <w:p>
      <w:pPr/>
      <w:r>
        <w:rPr/>
        <w:t xml:space="preserve">A BASF most azzal számol, hogy a nem termelési területeken elért éves költségmegtakarítás 2024 végére a 600 millió eurót, 2026 végére pedig a 700 millió eurót is meg fogja haladni. Ebbe beletartoznak a Global Business Services és a Global Digital Services egységek Európával kapcsolatos intézkedései, valamint a más régiókban hozott további intézkedések további 200 millió euróval fognak ehhez hozzájárulni. Elvermann hozzátette: "A ludwigshafeni Verbund-struktúrák átalakításából származó 200 millió eurós megtakarítással együtt összesen mintegy 1,1 milliárd euró éves megtakarítást tudunk majd elérni 2026 végére." </w:t>
      </w:r>
    </w:p>
    <w:p>
      <w:pPr/>
      <w:r>
        <w:rPr/>
        <w:t xml:space="preserve">A BASF csoport 2023. évi kilátásai</w:t>
      </w:r>
    </w:p>
    <w:p>
      <w:pPr/>
      <w:r>
        <w:rPr/>
        <w:t xml:space="preserve">A BASF várakozásai szerint a globális vegyipari termelés tovább stabilizálódik majd 2023. IV. negyedévében. A makrogazdasági kilátások azonban a jelenlegi kamatpolitikai környezetben és a növekvő geopolitikai kockázatokra tekintettel továbbra is rendkívül bizonytalanok. Különösen a nyersanyagárak emelkedése terhelheti a keresletet és az árréseket.</w:t>
      </w:r>
    </w:p>
    <w:p>
      <w:pPr/>
      <w:r>
        <w:rPr/>
        <w:t xml:space="preserve">Mindezek fényében a BASF fenntartotta a 2023. évi globális gazdasági környezetre vonatkozó értékelését (növekedési feltételezések a BASF 2023. évi féléves pénzügyi jelentéséből) (fél százalékpontra kerekített értékek):</w:t>
      </w:r>
    </w:p>
    <w:p>
      <w:pPr/>
      <w:r>
        <w:rPr/>
        <w:t xml:space="preserve">Bruttó hazai termék növekedése: 2,0 százalék</w:t>
      </w:r>
    </w:p>
    <w:p>
      <w:pPr/>
      <w:r>
        <w:rPr/>
        <w:t xml:space="preserve">Ipari termelés növekedése: 1,0 százalék</w:t>
      </w:r>
    </w:p>
    <w:p>
      <w:pPr/>
      <w:r>
        <w:rPr/>
        <w:t xml:space="preserve">Vegyipari gyártás növekedése: 0,0 százalék</w:t>
      </w:r>
    </w:p>
    <w:p>
      <w:pPr/>
      <w:r>
        <w:rPr/>
        <w:t xml:space="preserve">Euró/dollár átlagos árfolyam: 1,10 dollár/euró</w:t>
      </w:r>
    </w:p>
    <w:p>
      <w:pPr/>
      <w:r>
        <w:rPr/>
        <w:t xml:space="preserve">Átlagos éves olajár (Brent nyersolaj): 80 dollár hordónként</w:t>
      </w:r>
    </w:p>
    <w:p>
      <w:pPr/>
      <w:r>
        <w:rPr/>
        <w:t xml:space="preserve">A BASF csoportnak a 2023. évi féléves pénzügyi jelentésben kiadott, a 2023. üzleti évre vonatkozó előrejelzése szintén változatlan:</w:t>
      </w:r>
    </w:p>
    <w:p>
      <w:pPr/>
      <w:r>
        <w:rPr/>
        <w:t xml:space="preserve">Árbevétel: 73 és 76 milliárd euró között</w:t>
      </w:r>
    </w:p>
    <w:p>
      <w:pPr/>
      <w:r>
        <w:rPr/>
        <w:t xml:space="preserve">Rendkívüli tételek előtti EBIT: 4,0 és 4,4 milliárd euró között</w:t>
      </w:r>
    </w:p>
    <w:p>
      <w:pPr/>
      <w:r>
        <w:rPr/>
        <w:t xml:space="preserve">Befektetett tőke megtérülése (ROCE): 6,5 és 7,1 százalék között</w:t>
      </w:r>
    </w:p>
    <w:p>
      <w:pPr/>
      <w:r>
        <w:rPr/>
        <w:t xml:space="preserve">CO2 kibocsátás: 17,0 és 17,6 millió tonna között</w:t>
      </w:r>
    </w:p>
    <w:p>
      <w:pPr/>
      <w:r>
        <w:rPr/>
        <w:t xml:space="preserve">"Eközben arra számítunk, hogy az árbevétel és a rendkívüli tételek előtti EBIT a rájuk vonatkozó sávok alsó határán lesz" – mondta Brudermüller. Ha a vegyipari termelés nem stabilizálódik, akkor további volumencsökkenés és a vártnál erősebb árcsökkenés kockázata áll fenn.</w:t>
      </w:r>
    </w:p>
    <w:p>
      <w:pPr/>
      <w:r>
        <w:rPr/>
        <w:t xml:space="preserve">Eredeti tartalom: BASF Hungária Kft.</w:t>
      </w:r>
    </w:p>
    <w:p>
      <w:pPr/>
      <w:r>
        <w:rPr/>
        <w:t xml:space="preserve">Továbbította: Helló Sajtó! Üzleti Sajtószolgálat</w:t>
      </w:r>
    </w:p>
    <w:p>
      <w:pPr/>
      <w:r>
        <w:rPr/>
        <w:t xml:space="preserve">
          Ez a sajtóközlemény a következő linken érhető el:
          <w:br/>
          https://hellosajto.hu/8070/a-basf-csoport-rendkivuli-tetelek-elotti-ebit-je-egyezik-az-elemzok-egyhangu-velemenyevel-2023-iii-negyedeveben/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BASF Hungária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2023-11-03T21:34:49+00:00</dcterms:created>
  <dcterms:modified xsi:type="dcterms:W3CDTF">2023-11-03T21:34:49+00:00</dcterms:modified>
</cp:coreProperties>
</file>

<file path=docProps/custom.xml><?xml version="1.0" encoding="utf-8"?>
<Properties xmlns="http://schemas.openxmlformats.org/officeDocument/2006/custom-properties" xmlns:vt="http://schemas.openxmlformats.org/officeDocument/2006/docPropsVTypes"/>
</file>