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Kereskedelmiingatlan-piac: féken tartott banki kockázatok, stabil pénzügyi rendszer</w:t>
      </w:r>
      <w:bookmarkEnd w:id="1"/>
    </w:p>
    <w:p>
      <w:pPr/>
      <w:r>
        <w:rPr/>
        <w:t xml:space="preserve">2023 második felében a konjunktúra folytatódó lassulásával a kereskedelmiingatlan-piacot jellemző mutatószámok az emelkedő kockázatok irányába mozdultak el. A befektetési piacon az alacsony aktivitás és a hozamok további emelkedése mellett az ingatlanértékek csökkentek. Az irodapiaci és ipari-logisztikai kihasználatlansági ráták emelkedtek. A kiskereskedelmi- és a szállodaszektorra az átmenetileg mérséklődő reálbérek hatottak negatívan. A hitelintézetek sokkellenálló-képessége ugyanakkor továbbra is erős, tőkeellátottságuk megfelelő szintű, amelyet az MNB preventív tőkepuffer előírással tovább erősít.</w:t>
      </w:r>
    </w:p>
    <w:p>
      <w:pPr/>
      <w:r>
        <w:rPr/>
        <w:t xml:space="preserve">2023. első félévben a reálgazdasági folyamatok nem voltak támogatóak a kereskedelmiingatlan-piacon. A magas infláció okozta csökkenő reálbérekkel párhuzamosan a kiskereskedelmi forgalom mérséklődése és a szállodák belföldi vendégforgalmának csökkenése volt megfigyelhető. A GDP és a beruházási aktivitás csökkenése az irodák és az ipari-logisztikai ingatlanok bérleti kereslete szempontjából negatív kilátásokat előrevetítő fejlemény. Az eurohitelek emelkedő kamata pedig az egy éve régiószerte csökkenő ingatlanbefektetési kedvet még inkább konzerválta.</w:t>
      </w:r>
    </w:p>
    <w:p>
      <w:pPr/>
      <w:r>
        <w:rPr/>
        <w:t xml:space="preserve">A budapesti irodapiacon 2023. első félév során 1,3 százalékponttal 12,6 százalékra, az ipari-logisztikai piacon pedig jelentős mértékben, 4,8 százalékponttal 8,6 százalékra emelkedett a kihasználatlansági ráta. Az emelkedés ellenére mindkét szegmens kihasználatlansági rátája a historikus csúcsérték alatt tartózkodik, de a tervezett új átadási volumenek magas szintje, valamint az alacsony első félévi nettó piaci felszívás a további emelkedés kockázatát erősíti. Új irodaprojektek 2023 első felében már nem indultak érdemi volumenben, és az ipari-logisztikai szegmensben is megfigyelhető az elinduló új fejlesztések volumenének csökkenése. A folyamatban lévő építkezések és az első féléves keresleti adatok alapján azonban az irodapiacon már egy éven belül, az ipari-logisztikai piacon pedig két éven belül túlkínálat alakulhat ki.</w:t>
      </w:r>
    </w:p>
    <w:p>
      <w:pPr/>
      <w:r>
        <w:rPr/>
        <w:t xml:space="preserve">A hazai befektetési piac 2023. első félévben 0,25 milliárd eurós forgalmat ért el, ami 60 százalékkal alacsonyabb a 2022. első félévi befektetési forgalomnál. A tranzakciós volumen 80 százaléka hazai befektetőkhöz kötődött. A KKE régió legtöbb országában csökkent a befektetési forgalom és emelkedett a prime (legjobb kategóriájú ingatlanokra vonatkozó) irodahozam. A prime irodahozamok és bérleti díjak alapján számított tőkeértékek a KKE régióban átlagosan 10 százalékkal, Budapesten 19 százalékkal csökkentek 2023. második negyedév végére az egy évvel korábbihoz képest. A leértékelődés mértéke jelenleg kisebb, mint a 2008-as válság kitörését követően, ugyanakkor az ingatlanok értékváltozásával kapcsolatos aktuális folyamatokat pénzügyi stabilitási szempontból kiemelt figyelemmel kell kísérni.</w:t>
      </w:r>
    </w:p>
    <w:p>
      <w:pPr/>
      <w:r>
        <w:rPr/>
        <w:t xml:space="preserve">2023. első félévben a bankok a hitelezési feltételek változatlansága mellett 44 százalékkal kisebb volumenben folyósítottak kereskedelmi ingatlannal fedezett projekthiteleket, mint az előző év azonos időszakában, a szállodák és lakóparkok kivételével valamennyi ingatlantípus esetén csökkent az új kibocsátások volumene. A hazai hitelintézetek kereskedelmi ingatlannal fedezett projekthitel-kitettsége mérlegfőösszeg és szavatolótőke arányosan is kevesebb, mint fele a 2008-as válság utáni szintnek, ugyanakkor a potenciálisan emelkedő kockázatok miatt indokolttá vált a koronavírus-járvány kitörésekor határozatlan időre felfüggesztett rendszerkockázati tőkepuffer (SyRB) 2024. július 1-jétől történő, preventív célú újraaktiválása, amellyel erősödik a bankok sokkellenálló-képessége.</w:t>
      </w:r>
    </w:p>
    <w:p>
      <w:pPr/>
      <w:r>
        <w:rPr/>
        <w:t xml:space="preserve">http://www.mnb.hu/kiadvanyok/jelentesek/kereskedelmiingatlan-piaci-jelentes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+36 1 428 2600</w:t>
      </w:r>
    </w:p>
    <w:p>
      <w:pPr>
        <w:numPr>
          <w:ilvl w:val="0"/>
          <w:numId w:val="1"/>
        </w:numPr>
      </w:pPr>
      <w:r>
        <w:rPr/>
        <w:t xml:space="preserve">sajto@mnb.hu</w:t>
      </w:r>
    </w:p>
    <w:p>
      <w:pPr/>
      <w:r>
        <w:rPr/>
        <w:t xml:space="preserve">Eredeti tartalom: Magyar Nemzeti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https://hellosajto.hu/7768/kereskedelmiingatlan-piac-feken-tartott-banki-kockazatok-stabil-penzugyi-rendszer/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Magyar Nemzeti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23B9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2023-10-25T16:09:12+00:00</dcterms:created>
  <dcterms:modified xsi:type="dcterms:W3CDTF">2023-10-25T16:09:12+00:00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