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Javuló külső egyensúly – 2023 második negyedévében többletbe fordult a folyó fizetési mérleg</w:t>
      </w:r>
      <w:bookmarkEnd w:id="1"/>
    </w:p>
    <w:p>
      <w:pPr/>
      <w:r>
        <w:rPr/>
        <w:t xml:space="preserve">2023 második negyedévében tovább javult a magyar gazdaság külső pozíciója: a folyó fizetési mérleg negyedéves egyenlege 1 százalékot meghaladó többletbe fordult. A jelentős pozitív elmozdulás cserearányaink javulására, a belső kereslet szűkülésére, illetve kisebb részben az export növekedésére vezethető vissza. A nettó külső adósságráta enyhén emelkedett, miközben a bruttó adósságmutató kissé mérséklődött. A nemzetközi tartalék állománya historikusan magas szintenalakult.</w:t>
      </w:r>
    </w:p>
    <w:p>
      <w:pPr/>
      <w:r>
        <w:rPr/>
        <w:t xml:space="preserve">2023 második negyedévében a folyó fizetési mérleg – rövid távú folyamatokat tükröző – szezonálisan igazított negyedéves egyenlege a GDP 1,1 százalékát mutató többletbe fordult az előző negyedévi 2,1 százalékos hiányból. A külső egyensúlyi mutatók javulása a külkereskedelmi egyenleg növekedésére vezethető vissza. A külkereskedelem többlete a második negyedévben meghaladta a 3,3 milliárd eurót, amihez több tényező is hozzájárult. Egyrészt az év elején visszaeső energiaárak mellett a 2022-es évhez képest számottevően javult a cserearány. Másrészt a belföldi kereslet általános szűkülése mellett jelentősen csökkent az import. Végül elsősorban az akkumulátor- és járműgyártásnak köszönhetően az export fokozatos bővülése is hozzájárult a külkereskedelmi egyenleg javulásához.</w:t>
      </w:r>
    </w:p>
    <w:p>
      <w:pPr/>
      <w:r>
        <w:rPr/>
        <w:t xml:space="preserve">A külső finanszírozási igény mérséklődése a magánszektor emelkedő nettó pénzügyi megtakarítása mellett alakult ki, miközben az államháztartás hiánya a negyedév során enyhén növekedett. A lakosság és a vállalatok javuló pénzügyi pozíciója döntően a fogyasztás és beruházás, illetve a készletszintek csökkenésére vezethető vissza. Az államháztartás emelkedő hiányához a magas inflációs környezetben a tervezettől érdemben elmaradó áfa-bevételek és a magasabb kamatkiadás járult hozzá.</w:t>
      </w:r>
    </w:p>
    <w:p>
      <w:pPr/>
      <w:r>
        <w:rPr/>
        <w:t xml:space="preserve">Az adósságjellegű források beáramlása és a GDP jelentős nominális bővülése mellett a bruttó külső adósságráta enyhén mérséklődött, míg a nettó külső adósságráta kismértékben emelkedett – ugyanakkor a nettó külső adósság GDP-arányosan 14,6 százalékos értéke historikus összevetésben továbbra is alacsony. A nemzetközi tartalék állománya a második negyedév végén is historikus csúcs közeli szinten, 40 milliárd euro közelében alakult, továbbra is számottevően meghaladva a befektetők által kiemelten figyelt rövid külső adósság szintjét.</w:t>
      </w:r>
    </w:p>
    <w:p>
      <w:pPr/>
      <w:r>
        <w:rPr/>
        <w:t xml:space="preserve">Fizetési mérleg jelentés 2023. október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https://hellosajto.hu/7585/javulo-kulso-egyensuly-2023-masodik-negyedeveben-tobbletbe-fordult-a-folyo-fizetesi-merleg/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3AFC0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2023-10-19T19:23:52+00:00</dcterms:created>
  <dcterms:modified xsi:type="dcterms:W3CDTF">2023-10-19T19:23:52+00:00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