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MNB tovább erősíti a bankrendszer sokkellenálló képességét</w:t>
      </w:r>
      <w:bookmarkEnd w:id="1"/>
    </w:p>
    <w:p>
      <w:pPr/>
      <w:r>
        <w:rPr/>
        <w:t xml:space="preserve">Az MNB makroprudenciális politikája nagyban hozzájárult ahhoz, hogy a bankrendszer a jelenlegi bizonytalan makrogazdasági környezet mellett is stabilan tölti be gazdaságfinanszírozó szerepét. A felmerülő ciklikus és strukturális rendszerkockázatokat a prudenciális keretek folytatódó fejlesztése kezelheti a következő lépésekkel: a tőkepufferek és finanszírozási elvárások kockázatarányos előírása, az elsőlakás-vásárlók alacsonyabb önerőelvárása, a klímaváltozás okozta pénzügyi stabilitási kockázatok szabályozói keretrendszerbe való beépítése, valamint az árnyékbanki tevékenységek fokozott monitoringja.</w:t>
      </w:r>
    </w:p>
    <w:p>
      <w:pPr/>
      <w:r>
        <w:rPr/>
        <w:t xml:space="preserve">Az MNB publikálta 2023. évi Makroprudenciális jelentését, amely az elmúlt egy év makroprudenciális intézkedéseit, a piaci szereplők alkalmazkodását és a szabályozói lépések hatásait ismerteti. Kiemelt témaként foglalkozik a makroprudenciális tőkepufferek elmúlt időszakbeli és tervezett alakulásával, a fiatal elsőlakás-vásárlók lakáshoz jutási lehetőségeinek a hitelfelvételhez minimálisan szükséges önerő csökkentése útján történő támogatásával, az éghajlatváltozás potenciális pénzügyi rendszerkockázataival, valamint az árnyékbanki rendszerkockázatokkal és ezek kezelésével.  </w:t>
      </w:r>
    </w:p>
    <w:p>
      <w:pPr/>
      <w:r>
        <w:rPr/>
        <w:t xml:space="preserve">A 2023. évi kiadvány a következő fő üzeneteket tartalmazza:</w:t>
      </w:r>
    </w:p>
    <w:p>
      <w:pPr/>
      <w:r>
        <w:rPr/>
        <w:t xml:space="preserve">1. A magas infláció letörésére irányuló szigorú monetáris politikai kondíciók és a továbbra is bizonytalan makrogazdasági kilátások mellett az anticiklikus tőkepufferráta (CCyB) meghatározása során vizsgált indikátorok rövidtávon a ciklikus és a lakáspiaci túlfűtöttséggel összefüggő rendszerkockázatok enyhülését jelzik. Mindezekre tekintettel az MNB az eredetileg 2023. július 1-jétől aktiválódó CCyB előírás egyévvel történő elhalasztásáról döntött, így a tőkepuffer 2024. július 1-jétől lép hatályba 0,5 százalékos szinten.  </w:t>
      </w:r>
    </w:p>
    <w:p>
      <w:pPr/>
      <w:r>
        <w:rPr/>
        <w:t xml:space="preserve">2. A magas infláció és a megnövekedett hitelkamatok ellenére sem látható a hitelfelvevők túlzott eladósodottsága. Bár a magasabb jövedelmi megterheltség mellett nyújtott lakáshitelek új hiteleken belüli súlya emelkedett, ezt főként a hitelezés lassulásából eredő technikai hatás okozza, volumenük ugyanis csökkent és rendszerkockázatra továbbra sem utal. A lakáshitelezés visszaesésével együtt a lakóingatlan-fedezetek átlagos megterheltsége is csökkent. Az adósságfék limitek közelében eladósodó hitelfelvevők jelentős alkalmazkodása továbbra sem látható. A magas inflációra és az ahhoz kapcsolódó gyors nominális béremelkedésre tekintettel, az adósságfék-előírások hatékonyságának fenntartása érdekében az MNB megemelte a szabályozás jövedelmi és úgynevezett de minimis küszöbértékeit.</w:t>
      </w:r>
    </w:p>
    <w:p>
      <w:pPr/>
      <w:r>
        <w:rPr/>
        <w:t xml:space="preserve">3. Az elmúlt évek lakásár-emelkedése okán a fiatal elsőlakás-vásárlóknak az egyéb lakásvásárlókhoz képest egyre nehezebbé vált a lakáshitel-felvételhez szükséges önerő előteremtése, miközben hitelkockázatuk az átlagosnál alacsonyabb lehet. Ez széleskörű negatív másodkörös hatásokkal is járhat. Erre tekintettel az MNB az elsőlakás-vásárlók esetén eltérő, alacsonyabb önerőelvárást lehetővé tevő, 90 százalékos hitelfedezeti mutató (HFM) limit közeljövőbeli alkalmazását tervezi.</w:t>
      </w:r>
    </w:p>
    <w:p>
      <w:pPr/>
      <w:r>
        <w:rPr/>
        <w:t xml:space="preserve">4. Az elmúlt években az MNB intézkedéseinek támogatásával széles körben elterjedő, hosszú távra rögzített kamatozású lakáscélú hitelek növelik a pénzügyi stabilitást a törlesztőrészletek volatilitásának mérséklése útján. A jelenlegi magas kamatkörnyezetben azonban a hitelfelvevők az alacsony hazai hitelkiváltási aktivitás miatt hosszú időre beragadhatnak a magas kamatterhekbe, ezért az MNB javasolja az előtörlesztéshez és hitelfelvételhez kapcsolódó, nemzetközileg is magas költségek és adminisztrációs terhek jogszabályi eszközökkel való mérséklését.</w:t>
      </w:r>
    </w:p>
    <w:p>
      <w:pPr/>
      <w:r>
        <w:rPr/>
        <w:t xml:space="preserve">5. A kereskedelmiingatlan (CRE) hitelezéssel összefüggő kockázatok jelenleg nem tekinthetők túlzott mértékűnek, de előretekintve pénzügyi stabilitási kockázatok épülhetnek fel a piacon. Ezt megelőzendő indokolttá vált a koronavírus-járvány kitörésekor határozatlan időre felfüggesztett rendszerkockázati tőkepuffer (SyRB) 2024. július 1-jétől történő, preventív célú újraaktiválása, mellyel erősödik a bankok sokkellenálló képessége.</w:t>
      </w:r>
    </w:p>
    <w:p>
      <w:pPr/>
      <w:r>
        <w:rPr/>
        <w:t xml:space="preserve">6. A bankrendszer likviditási és finanszírozási pozíciója továbbra is megfelelő. A bankok a likviditásfedezeti ráta (LCR) előírást biztonságos pufferekkel teljesítik, az elmúlt évekhez képest jelentős változás nem látható. Az év eleji nemzetközi banki csődeseményekre is tekintettel az MNB felügyeleti hatáskörében megerősítette a bankok likviditási követelményeit. A bankok a nettó stabil finanszírozási előírást (NSFR) stabilan teljesítették az elmúlt egy évben. A magas kamatkörnyezet ügyfélbetétek árazásában való korlátozott mértékű és lassabb megjelenése viszont hosszabb távon finanszírozási kockázatot jelenthet. Az MNB makroprudenciális finanszírozási előírásait a bankrendszer továbbra is megfelelő pufferekkel, kedvező forrásszerkezettel teljesíti, így a finanszírozási helyzet nem korlátozza a hitelezés fenntartását.</w:t>
      </w:r>
    </w:p>
    <w:p>
      <w:pPr/>
      <w:r>
        <w:rPr/>
        <w:t xml:space="preserve">7. A jelzáloglevél-piac további fejlesztése érdekében az MNB 2022 nyarán több módosításról döntött a Jelzáloghitel-finanszírozás megfelelési mutató (JMM) előírás keretében a befektetői kör bővítése és a forint lejárati összhang további erősítése érdekében, amit azonban az aktuális bizonytalan gazdasági és tőkepiaci helyzet okán 2022 végén határozatlan időre elhalasztott. 2023. szeptemberben a kibocsátások adminisztratív időigényére és a jelzáloghitelezés visszaesésére tekintettel az eredetileg 2023. október 1-jén életbe lépő, a deviza jelzáloglevél-alapú forrásokra vonatkozó zöld elvárás is 1 évvel elhalasztásra került. A tervezett szigorítások bevezetésének ütemezéséről a tőkepiaci feltételek alakulásától függően dönthet az MNB.</w:t>
      </w:r>
    </w:p>
    <w:p>
      <w:pPr/>
      <w:r>
        <w:rPr/>
        <w:t xml:space="preserve">8. Az MNB továbbra is kiemelt figyelmet fordít az éghajlatváltozásból eredő pénzügyi stabilitási kockázatok értékelésére és kezelésére. A zöld kockázatok és klímavédelmi szempontok figyelembevétele a hazai makroprudenciális eszköztárban is megkezdődött, első körben a JMM előírásban a zöld jelzáloglevelek kedvezményes figyelembevétele útján. Ezen kívül 2023. áprilistól a Minősített Fogyasztóbarát Lakáshitelek (MFL) esetében is megjelentek a zöld hitelcélok, melyek elérését a hitelnyújtók általi díjátvállalás és potenciális kamatkedvezmény támogatja. Az adósságfék-szabályok zöld szempontú alkalmazására is egyre több nemzetközi példa akad, aminek hazai lehetőségeit az MNB szintén vizsgálja.</w:t>
      </w:r>
    </w:p>
    <w:p>
      <w:pPr/>
      <w:r>
        <w:rPr/>
        <w:t xml:space="preserve">9. Az elmúlt évtizedben a kevésbé szabályozott és potenciális rendszerkockázatot jelentő árnyékbankrendszer hitelintézeti szektorhoz viszonyított mérete jelentősen nőtt globálisan, amihez a bankszektor erősödő szabályozása és az új technológia megoldások nembanki intézmények általi erősebb kihasználása is hozzájárult. A hazai pénzügyi rendszerben az árnyékbankinak tekinthető kockázatok jelenléte jelenleg korlátozott az EU magországaiban látottakhoz képest. Az árnyékbanki tevékenységek mérete és a hazai bankok ezekből eredő kockázatoknak való alacsony kitettsége miatt érdemi rendszerkockázat nem azonosítható.</w:t>
      </w:r>
    </w:p>
    <w:p>
      <w:pPr/>
      <w:r>
        <w:rPr/>
        <w:t xml:space="preserve">Sajtóprezentáció</w:t>
      </w:r>
    </w:p>
    <w:p>
      <w:pPr/>
      <w:r>
        <w:rPr/>
        <w:t xml:space="preserve">Makroprudenciális jelentés 2023</w:t>
      </w:r>
    </w:p>
    <w:p>
      <w:pPr/>
      <w:r>
        <w:rPr/>
        <w:t xml:space="preserve">A jelentés ábrái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https://hellosajto.hu/7546/az-mnb-tovabb-erositi-a-bankrendszer-sokkellenallo-kepesseget/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ACC03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2023-10-18T17:10:29+00:00</dcterms:created>
  <dcterms:modified xsi:type="dcterms:W3CDTF">2023-10-18T17:10:29+00:00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