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Továbbra is versenyképesek az önkéntes nyugdíjpénztárak</w:t>
      </w:r>
      <w:bookmarkEnd w:id="1"/>
    </w:p>
    <w:p>
      <w:pPr/>
      <w:r>
        <w:rPr/>
        <w:t xml:space="preserve">Az önkéntes nyugdíjpénztárak költségmutatói tavaly alig változtak, a klasszikus díjterhelési mutató 0,72 százalék, a korrigált díjterhelési mutató 0,73 százalék lett. A befektetési költséghányadot több pénztárnál a negatív hozam miatt ki nem fizetett sikerdíjak csökkentették. A működési költségrészt a nemfizető tagok okozta kiesés pótlása növelte. A nyugdíjpénztárak más öngondoskodási ajánlatokkal összevetve változatlanul az egyik legversenyképesebb konstrukciót kínálják.</w:t>
      </w:r>
    </w:p>
    <w:p>
      <w:pPr/>
      <w:r>
        <w:rPr/>
        <w:t xml:space="preserve">Az önkéntes nyugdíjpénztárak költségeit visszamenőleg kifejező klasszikus díjterhelési mutató 2022-ben 0,72 százalék volt (a 2021. évi 0,71 százalék után), a korrigált díjterhelési mutató értéke pedig 0,73 százalék (előző évben 0,75 százalék) – olvasható a Magyar Nemzeti Bank friss összefoglalójában. A klasszikus díjterhelési mutató a nyugdíjpénztári vagyonhoz, míg a korrigált mérőszám egy átlagos, 30 éves felhalmozási időszakkal rendelkező tag hipotetikus vagyonához viszonyítja a tagdíjból működésre levont költségeket. A tavalyi díjterhelési mutató értékek 2021-hez képest így érdemben alig változtak, továbbra is versenyképesnek számítanak a nyugdíj-előtakarékossági lehetőségek piacán.</w:t>
      </w:r>
    </w:p>
    <w:p>
      <w:pPr/>
      <w:r>
        <w:rPr/>
        <w:t xml:space="preserve">A díjterhelés összetevőin belül a működési költségek nem változtak lényegesen tavaly, korrigált értékük az előző évi 0,31 százalékról 0,32 százalékra módosult. A tavalyi általános eszközleértékelődés okozta negatív befektetési eredmények miatt a pénztáraknak nem volt lehetőségük a tagdíjat nem fizető tagok hozamából működési költséget levonni. Így néhány pénztár növelte a tagdíjakból működésre és likviditásra levonható részt, vagy módosította a sávos tagdíjfelosztást, növelve a befizetésarányos levonást (a klasszikus díjterhelési mutatónál e hatás erősebb, mert ott az – a tavaly csökkenő – vagyonra vetítve jelent meg).</w:t>
      </w:r>
    </w:p>
    <w:p>
      <w:pPr/>
      <w:r>
        <w:rPr/>
        <w:t xml:space="preserve">A befektetési tevékenységhez kapcsolódó díjterhek a korrigált mutatónál a 2021. évi 0,44 százalékról 0,41 százalékra csökkentek. A csökkenéshez jelentősen hozzájárult, hogy tavaly a pénztári portfóliók jórésze negatív hozamot ért el. Több pénztárnál ugyanakkor a vagyonkezelői sikerdíj feltétele a pozitív hozam volt, márpedig így a sikerdíjat nem kellett kifizetni az érintett vagyonkezelőknek akkor sem, ha a pénztári hozam meghaladta a referencia hozamot.</w:t>
      </w:r>
    </w:p>
    <w:p>
      <w:pPr/>
      <w:r>
        <w:rPr/>
        <w:t xml:space="preserve">A jegybank ajánlása alapján kiszámított átlagos 30 éves – vagyis egy feltételezett tagnak a pénztárban várhatóan eltöltendő átlagos életidejét modellező – pénztári teljes költségmutató (TKMNYP) 2022-ben 0,94 százalék lett (az előző évben 0,92 százalék). Az eltérő módszertannal számolt költségmutatók egyaránt azt mutatják, hogy az önkéntes nyugdíjpénztárak költségszintje hosszútávon is 1 százalék alatt marad.</w:t>
      </w:r>
    </w:p>
    <w:p>
      <w:pPr/>
      <w:r>
        <w:rPr/>
        <w:t xml:space="preserve">A TKMNYP – a visszatekintő jellegű és csak az előző évi tagdíjból levont működési, likviditási költségekkel számoló díjterhelési mutatókkal szemben – előretekintő módon modellezi a pénztártagok hosszútávú jövőbeni megtakarításait. E mutatót a pénztárak honlapjaikon is közzéteszik, s azok a jegybank honlapján össze is hasonlíthatók az élet- és nyugdíjbiztosítási TKM-ekkel. A fogyasztók így a különböző előtakarékossági formák között nem csak a hozamadatok, hanem a megtakarítást terhelő költségek alapján is választhatnak.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https://hellosajto.hu/7166/tovabbra-is-versenykepesek-az-onkentes-nyugdijpenztarak/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868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2023-10-10T16:41:18+00:00</dcterms:created>
  <dcterms:modified xsi:type="dcterms:W3CDTF">2023-10-10T16:41:18+00:00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