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bank is rosszul adott tájékoztatást a lakossági hitelek előtörlesztésénél és késve számolta el a befizetéseket</w:t>
      </w:r>
      <w:bookmarkEnd w:id="1"/>
    </w:p>
    <w:p>
      <w:pPr/>
      <w:r>
        <w:rPr/>
        <w:t xml:space="preserve">Az MNB folyamatos felügyeleti tevékenysége során ellenőrizte a lakossági előtörlesztésekhez kapcsolódó hitelintézeti gyakorlatot. A jegybank ennek során négy banknál is a fogyasztók széles körét érintő, jelentős hiányosságokat tárt fel, s ennek nyomán összesen 27 millió forint bírságot szabott ki az érintett piaci szereplőkre.</w:t>
      </w:r>
    </w:p>
    <w:p>
      <w:pPr/>
      <w:r>
        <w:rPr/>
        <w:t xml:space="preserve">A fogyasztónak nyújtott hitelről szóló törvény 2021. március 10-től előírt módosítása szerint, ha egy lakossági ügyfél jelzi előtörlesztési szándékát, akkor a hitelezőnek 5 munkanapon belül rendelkezésére kell bocsátania az előtörlesztésre vonatkozó információkat, s ugyancsak 5 munkanapon belül el kell számolnia a hozzá beérkezett előtörlesztési összeget. Az MNB 16 hitelintézet erre vonatkozó gyakorlatát tekintette át. Két intézménynél nem tárt fel hiányosságot, a többi piaci szereplőnél ugyanakkor különböző jellegű és súlyosságú jogszabálysértést állapított meg.</w:t>
      </w:r>
    </w:p>
    <w:p>
      <w:pPr/>
      <w:r>
        <w:rPr/>
        <w:t xml:space="preserve">Az MNB több esetben azonosított olyan gyakorlatot, amely időben korlátozta a fogyasztó előtörlesztési lehetőségét, mert az arra vonatkozó szándék bejelentését csak bizonyos időszakban fogadta el. Az egyik hitelintézet hitelkártya-terméke esetében ezt az ügyfelek csak a tárgyhó 1. napja és az aktuális törlesztési határnap közötti időszakban jelezhették. Más piaci szereplőknél a fogyasztóknak előtörlesztésüket előzetesen legalább 5 vagy 30 munkanappal korábban be kellett jelenteniük.</w:t>
      </w:r>
    </w:p>
    <w:p>
      <w:pPr/>
      <w:r>
        <w:rPr/>
        <w:t xml:space="preserve">A jegybank feltárta, hogy számos intézmény nem mindenkor tartotta be a törvényi 5 munkanapos határidőt az – előtörlesztésre vonatkozó információkat, annak következményeinek számszerűsítését és a kapcsolódó feltételezéseket tartalmazó – ügyféltájékoztatás rendelkezésre bocsátása kapcsán. Pár hitelintézet a fedezetlen hiteleknél (pl. áruhitel, személyi kölcsön) egyáltalán nem nyújtott előzetes tájékoztatást, mások ezt csak késve, az előtörlesztési szándék bejelentését követő 5 munkanapon túl adták meg. Volt olyan intézmény, amely a személyi kölcsönénél ugyan bemutatta a fogyasztóknak a kért információkat, de azokat nem adta át papíron vagy tartós adathordozón.</w:t>
      </w:r>
    </w:p>
    <w:p>
      <w:pPr/>
      <w:r>
        <w:rPr/>
        <w:t xml:space="preserve">Az előtörlesztéseket számos esetben nem számolták el 5 munkanapon belül. Akadt hitelintézet, ahol csak pár esetben lépték túl a törvényi időkeretet, számos piaci szereplőnél viszont azért nem számoltak el határidőben, mert a fogyasztók előtörlesztési jogát is valamiképp korlátozták. Több intézmény előre megjelölte az előtörlesztett összeg elszámolásának egyedül lehetséges időpontját (pl. a kölcsön esedékességének napja), mások kiegészítő adminisztratív nyilatkozathoz kötötték az előtörlesztés végrehajtását. Előfordult az is, hogy egy hitelintézet nem minden ügyfelének bocsátotta rendelkezésre a befizetéshez szükséges csekket.</w:t>
      </w:r>
    </w:p>
    <w:p>
      <w:pPr/>
      <w:r>
        <w:rPr/>
        <w:t xml:space="preserve">Gyakorta nem volt megfelelő az előtörlesztéshez kapcsolódó tájékoztatás tartalma sem. Egyes piaci szereplők pl. a fizetési moratórium hatálya alá tartozó szerződéseknél az az alatt felhalmozódott tartozást nem megfelelően tüntették fel az ügyféltájékoztatókon. Több hitelintézetnél a tényleges előtörlesztési gyakorlat nem a hitelszerződésekben foglaltakat tükrözte. Pár intézménynél nyilvántartási hiányosságok is felmerültek, mert nem tudták megfelelően igazolni az egyes előtörlesztési események (pl. az előtörlesztési kérelem átvételének) dátumát.</w:t>
      </w:r>
    </w:p>
    <w:p>
      <w:pPr/>
      <w:r>
        <w:rPr/>
        <w:t xml:space="preserve">Mivel a jegybank egyes piaci szereplőknél a fogyasztók széles körét érintő, jelentős problémákat is feltárt, ennek nyomán öt határozatában négy intézményre (Erste Bank Hungary Zrt.; Erste Bank Hungary Zrt.; MBH Bank Nyrt.; Takarékbank Zrt.; Takarékbank Jelzálogbank Nyrt.) összesen 27 millió forint összegű bírságot is kiszabott.</w:t>
      </w:r>
    </w:p>
    <w:p>
      <w:pPr/>
      <w:r>
        <w:rPr/>
        <w:t xml:space="preserve">A hitelintézetek többsége már az MNB megkeresésének hatására – fejlesztésekkel, folyamataik, szabályzataik és formanyomtatványaik átalakításával, illetve ügyintézői oktatással – megkezdte a feltárt hibák javítását.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https://hellosajto.hu/7133/tobb-bank-is-rosszul-adott-tajekoztatast-a-lakossagi-hitelek-elotorlesztesenel-es-kesve-szamolta-el-a-befizeteseket/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CB3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2023-10-09T18:25:56+00:00</dcterms:created>
  <dcterms:modified xsi:type="dcterms:W3CDTF">2023-10-09T18:25:56+00:00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