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Zöld kötvények: nagyobb átláthatóság, nem a zöld álcára</w:t>
      </w:r>
      <w:bookmarkEnd w:id="1"/>
    </w:p>
    <w:p>
      <w:pPr/>
      <w:r>
        <w:rPr/>
        <w:t xml:space="preserve">Az EU a világon elsőként létrehozza az európai zöldkötvény-szabványt, hogy megakadályozza, hogy a vállalatok környezetbarátabbnak mutassák magukat, mint amilyenek valójában.</w:t>
      </w:r>
    </w:p>
    <w:p>
      <w:pPr/>
      <w:r>
        <w:rPr/>
        <w:t xml:space="preserve">Mi az a zöld kötvény?</w:t>
      </w:r>
    </w:p>
    <w:p>
      <w:pPr/>
      <w:r>
        <w:rPr/>
        <w:t xml:space="preserve">A zöld kötvény egy fix kamatozású eszköz, amelyet az éghajlattal kapcsolatos vagy környezetvédelmi projektek támogatására terveztek. A zöld kötvényeket olyan beruházások, projektek, kiadások vagy eszközök finanszírozására vagy refinanszírozására használják, amelyek segítik az éghajlati és környezeti problémák kezelését. A kormányok és a magánvállalatok a fenntarthatóbb és alacsony szén-dioxid-kibocsátású gazdaságra való átállás finanszírozására használják fel ezeket.</w:t>
      </w:r>
    </w:p>
    <w:p>
      <w:pPr/>
      <w:r>
        <w:rPr/>
        <w:t xml:space="preserve">Miért van szüksége az EU-nak zöldkötvény-szabványra?</w:t>
      </w:r>
    </w:p>
    <w:p>
      <w:pPr/>
      <w:r>
        <w:rPr/>
        <w:t xml:space="preserve">A globális és az uniós zöldkötvény-piac 2015 és 2020 között átlagosan évi 50%-kal nőtt, de 2020-ban a teljes kötvénykibocsátás mindössze 3-3,5%-át képviselték. A jó minőségű zöldkötvény-piac gyorsabb növekedése szükséges a párizsi megállapodás és az európai zöld megállapodás célkitűzéseinek teljesítéséhez.Nincs azonban egységes zöldkötvény-szabvány, és ez akadályozza a piac fejlődését. Az európai zöldkötvény-szabvány lehetővé tenné a zöldkötvény-piac jobb szabályozását, javítaná a felügyeletet, átláthatóbbá tenné, és megakadályozná, hogy a cégek környezetbarátabbnak mutassák magukat, mint amilyenek - ezt a gyakorlatot egyébként zöldmosásnak nevezik.</w:t>
      </w:r>
    </w:p>
    <w:p>
      <w:pPr/>
      <w:r>
        <w:rPr/>
        <w:t xml:space="preserve">Hogyan fog kinézni a zöld kötvény szabvány?</w:t>
      </w:r>
    </w:p>
    <w:p>
      <w:pPr/>
      <w:r>
        <w:rPr/>
        <w:t xml:space="preserve">2023. február 28-án a képviselők és a Tanács ideiglenes megállapodásra jutott az európai zöldkötvény-szabványról.Olyan vállalatok és állami szervek számára lesz elérhető, amelyek tőkepiacokon kívánnak forrást szerezni zöld beruházások finanszírozására és szigorú fenntarthatósági követelményeknek való megfelelésre. Az európai zöldkötvény-szabvány alapján kibocsátott kötvényekből befolyt összes pénzt olyan tevékenységekbe kell befektetni, amelyek összhangban állnak az EU fenntarthatósági céljaival.</w:t>
      </w:r>
    </w:p>
    <w:p>
      <w:pPr/>
      <w:r>
        <w:rPr/>
        <w:t xml:space="preserve">Minden olyan vállalatnak és állami szervezetnek, amely a szabvány alkalmazását választja egy zöld kötvény forgalmazásakor, nyilvánosságra kell hoznia a bevételek felhasználására vonatkozó információkat, és meg kell mutatnia, hogy ezek a befektetések hogyan épülnek be a vállalat egészének átállási terveibe.A Parlament 2023 októberében hagyta jóvá az új törvényt.</w:t>
      </w:r>
    </w:p>
    <w:p>
      <w:pPr/>
      <w:r>
        <w:rPr/>
        <w:t xml:space="preserve">Bővebben:</w:t>
      </w:r>
    </w:p>
    <w:p>
      <w:pPr/>
      <w:r>
        <w:rPr/>
        <w:t xml:space="preserve">Európai zöld megállapodás: úton egy klímasemleges és fenntartható EU felé</w:t>
      </w:r>
    </w:p>
    <w:p>
      <w:pPr/>
      <w:r>
        <w:rPr/>
        <w:t xml:space="preserve">Hogyan valósítaná meg az EU a körkörös gazdaságot 2050-re?</w:t>
      </w:r>
    </w:p>
    <w:p>
      <w:pPr/>
      <w:r>
        <w:rPr/>
        <w:t xml:space="preserve">Csere helyett javítás: a fenntartható fogyasztást ösztönözné az EP</w:t>
      </w:r>
    </w:p>
    <w:p>
      <w:pPr/>
      <w:r>
        <w:rPr/>
        <w:t xml:space="preserve">Európai zöld kötvények</w:t>
      </w:r>
    </w:p>
    <w:p>
      <w:pPr/>
      <w:r>
        <w:rPr/>
        <w:t xml:space="preserve">Európai zöldkötvény szabvány</w:t>
      </w:r>
    </w:p>
    <w:p>
      <w:pPr/>
      <w:r>
        <w:rPr/>
        <w:t xml:space="preserve">Kérdések és válaszok</w:t>
      </w:r>
    </w:p>
    <w:p>
      <w:pPr/>
      <w:r>
        <w:rPr/>
        <w:t xml:space="preserve">Háttér (2021. október)</w:t>
      </w:r>
    </w:p>
    <w:p>
      <w:pPr/>
      <w:r>
        <w:rPr/>
        <w:t xml:space="preserve">Az Európai Bizottság üdvözli az európai zöldkötvény-szabványról szóló politikai megállapodást</w:t>
      </w:r>
    </w:p>
    <w:p>
      <w:pPr/>
      <w:r>
        <w:rPr/>
        <w:t xml:space="preserve">Javaslat az Európai Parlament és a Tanács rendeletére az európai zöld kötvényekről</w:t>
      </w:r>
    </w:p>
    <w:p>
      <w:pPr/>
      <w:r>
        <w:rPr/>
        <w:t xml:space="preserve">Jelentés az EU zöldkötvény-szabványáról (2019. június)</w:t>
      </w:r>
    </w:p>
    <w:p>
      <w:pPr/>
      <w:r>
        <w:rPr/>
        <w:t xml:space="preserve">REF: 20230928STO06003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https://hellosajto.hu/7029/zold-kotvenyek-nagyobb-atlathatosag-nem-a-zold-alcara/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D19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2023-10-06T14:10:21+00:00</dcterms:created>
  <dcterms:modified xsi:type="dcterms:W3CDTF">2023-10-06T14:10:21+00:00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