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ország egészét érintő közúti kartellt tárt fel a GVH – közel 300 milliós bírság lett a vége</w:t>
      </w:r>
      <w:bookmarkEnd w:id="1"/>
    </w:p>
    <w:p>
      <w:pPr/>
      <w:r>
        <w:rPr/>
        <w:t xml:space="preserve">Pont került egy régóta húzódó kartellügy végére. A Gazdasági Versenyhivatal (GVH) megállapította, hogy az útjelfestéssel és közúti táblázással foglalkozó vállalkozások nagy része felosztotta egymás között a hazai piacot 2012 és 2014 között. A nemzeti versenyhatóság mintegy 300 milliós bírságot szabott ki 17 vállalkozásra az ország teljes területét lefedő sorozatos összejátszások miatt, egyes felelősöknek pedig büntetőjogi következményekkel is szembe kellett nézniük.</w:t>
      </w:r>
    </w:p>
    <w:p>
      <w:pPr/>
      <w:r>
        <w:rPr/>
        <w:t xml:space="preserve">A nemzeti versenyhatóság 2015-ben indított vizsgálatot, amiért a gyanú szerint egyes hazai forgalomtechnikai tevékenységeket – útburkolati jelek festését és közúti táblák kihelyezését – érintő tenderek résztvevői összejátszottak egymással. A versenyfelügyeleti eljárás feltárta, hogy az érintett vállalkozások egyeztették a tenderekre beadandó ajánlati áraikat, a nyertes személyét, illetve a munkákkal kapcsolatos kompenzációkat – ezáltal felosztották maguk között a hazai piacokat a 2012 és 2014 közötti időszakban. A vizsgálat alapján a regionális szintű jogsértések kiterjedtek egyes országos tenderekre, sőt, a közbeszerzési eljárások mellett egyéb (értékhatár alatti, illetve magánszereplők által kiírt) versenyeztetési eljárásokra is. A jogsértések együttesen lefedték az ország teljes területét, a piac versenyellenes felosztásában pedig a hazai, útjelfestéssel és táblázással foglalkozó vállalkozások túlnyomó többsége érintett volt. A kartell résztvevői nem csupán a hazai versenyszabályokat sértették meg, hanem az Európai Unió működéséről szóló szerződés kartelltilalmát is, mivel magatartásuk érinthette a tagállamok közötti kereskedelmet.</w:t>
      </w:r>
    </w:p>
    <w:p>
      <w:pPr/>
      <w:r>
        <w:rPr/>
        <w:t xml:space="preserve">A vizsgálat összetettsége – elsősorban rengeteg szereplője, illetve az érintett tenderek nagy száma miatt – különösen bonyolultnak számított, még a hagyományosan komplexnek minősíthető kartellügyek között is. A 8 évig tartó eljárás során több mint 1100 aldokumentumból álló hatósági akta gyűlt össze, a GVH pedig összesen csaknem 2300 napot (több, mint 6 évet) volt kénytelen várakozni különböző adatközlésekre, illetve az ügyhöz kapcsolódó bírósági eljárások befejeződésére. Utóbbiak közül kiemelhető az a 4 évig tartó büntetőper, amelynek lezárultáig a GVH kénytelen volt felfüggeszteni a versenyfelügyeleti eljárását 2018 és 2022 között. A feltárt kartell ugyanis nem csupán versenyhatósági következményeket vont maga után, hanem egyes, közbeszerzéssel kapcsolatos elemei bűncselekménynek is minősültek a Fővárosi Törvényszék döntése szerint.</w:t>
      </w:r>
    </w:p>
    <w:p>
      <w:pPr/>
      <w:r>
        <w:rPr/>
        <w:t xml:space="preserve">A GVH Versenytanácsa az elkövetett jogsértések értékelésekor kiemelten súlyosító körülményként értékelte, hogy azok a legtöbb esetben közpénzeket is érintő beszerzési eljárások felosztására irányultak, számos esetben pedig a vállalkozások vezető tisztségviselői is részesei voltak. A hatóság ugyanakkor enyhítő körülményként vette figyelembe egyes résztvevők együttműködését, ugyanis a vállalkozások közel fele – ún. egyezségi eljárás keretében – teljeskörűen elismerte a jogsértést. A versenyhatóság végül az ügyben 17 cégre szabott ki bírságot, összesen 284,8 millió forintos összegben.</w:t>
      </w:r>
    </w:p>
    <w:p>
      <w:pPr/>
      <w:r>
        <w:rPr/>
        <w:t xml:space="preserve">Az ügy hivatali nyilvántartási száma: VJ/3/2015.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https://hellosajto.hu/7017/az-orszag-egeszet-erinto-kozuti-kartellt-tart-fel-a-gvh-kozel-300-millios-birsag-lett-a-vege/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CE5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2023-10-05T16:39:13+00:00</dcterms:created>
  <dcterms:modified xsi:type="dcterms:W3CDTF">2023-10-05T16:39:13+00:00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