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 Magyar Bankszövetség sajtóközleménye a gazdaságfejlesztésről</w:t>
      </w:r>
      <w:bookmarkEnd w:id="1"/>
    </w:p>
    <w:p>
      <w:pPr/>
      <w:r>
        <w:rPr/>
        <w:t xml:space="preserve">Minden gazdasági szereplő érdeke a gazdasági recesszióból való kilábalás. A bankszektor felkészült arra, hogy elvégezze az ebben rá háruló alapfeladatait, elsősorban a pénzpiaci és befektetői bizalom fenntartását, egyidejűleg az infláció elleni folyamatos küzdelmet és a gazdaság fenntartható finanszírozását.</w:t>
      </w:r>
    </w:p>
    <w:p>
      <w:pPr/>
      <w:r>
        <w:rPr/>
        <w:t xml:space="preserve">Nagy Márton Gazdaságfejlesztési Miniszter és a Magyar Bankszövetség Elnöksége hétfői találkozójukon áttekintették a következő időszak pénzügyi és gazdasági kihívásait. Így a gazdaságfejlesztéshez szükséges hitelezési feladatokat, a beruházási vonzóképesség megőrzését és az infláció letöréséhez lehetséges lépéseket. Ezek sikeres megvalósításához a Bankszövetség kéri a készpénzmentesítés és a digitális átállás felgyorsítását is. Piaci hatásként az infláció mérséklődése, a referencia és a hitelezési kamatok várható csökkentése is hozzá fog járulni a hitelezés növekedéséhez, amely a gazdaság növekedésének természetes motorja.</w:t>
      </w:r>
    </w:p>
    <w:p>
      <w:pPr/>
      <w:r>
        <w:rPr/>
        <w:t xml:space="preserve">A bankszektor teherviselő képességét az auditált eredményeiből lehet levezetni. 2020-ban 4,0%, 2021-ben 8,7%, 2022-ben 7,3% volt a teljes magyar bankszektor saját tőke arányos auditált nettó nyeresége, mely messze elmarad a magyar kamatkörnyezettől, bármely megtakarító vagy befektető éven túli hozamelvárásától és a közvélekedéstől is. A 2023. évi auditált eredményt majd jövő év tavaszán ismerhetjük meg, mely akkorra az egész éves gazdasági és geopolitikai hatásokat tartalmazni fogja. A bankok tulajdonosai több ezer milliárd forint tőkét biztosítottak és biztosítanak a magyar gazdaság fejlesztéséhez, miközben befektetésükért és elkötelezett aktivitásukért más iparágakhoz képest az elvártható nyereség kisebb részét kapják vissza ezekben a nehéz években. A bankszektor tőkeerejének megtartása a jövőbeli gazdasági fejlődés záloga.</w:t>
      </w:r>
    </w:p>
    <w:p>
      <w:pPr/>
      <w:r>
        <w:rPr/>
        <w:t xml:space="preserve">A bankszektor meggyőződése, hogy a digitális korszak szabályrendszerének mihamarabbi kialakítása, a tőkeerős bankszektor hitelezési aktivitása és a versenysemleges piaci környezet - benne a kamatstopok kivezetése és a nemzetközi versenyképességet súlyosan hátráltató ún. extraprofit-adó megszüntetése - együttesen képesek felgyorsítani a magyar gazdaság növekedését és régiós szerepvállalásának erősítését. A Magyar Bankszövetség a közös együttműködés jegyében elkötelezett az ország pénzügyi és gazdasági növekedése iránt, így támogatja a Kormány ezirányú erőfeszítéseit, benne a Gazdaságfejlesztési Minisztérium kezdeményezéseit.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Sütő Ágnes</w:t>
      </w:r>
    </w:p>
    <w:p>
      <w:pPr>
        <w:numPr>
          <w:ilvl w:val="0"/>
          <w:numId w:val="1"/>
        </w:numPr>
      </w:pPr>
      <w:r>
        <w:rPr/>
        <w:t xml:space="preserve">suto.agnes@bankszovetseg.hu</w:t>
      </w:r>
    </w:p>
    <w:p>
      <w:pPr/>
      <w:r>
        <w:rPr/>
        <w:t xml:space="preserve">Eredeti tartalom: Magyar Bankszövetség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https://hellosajto.hu/6627/a-magyar-bankszovetseg-sajtokozlemenye-a-gazdasagfejlesztesrol/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2023-09-26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Magyar Bankszövetség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5A6E57C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2023-09-26T15:53:39+00:00</dcterms:created>
  <dcterms:modified xsi:type="dcterms:W3CDTF">2023-09-26T15:53:39+00:00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