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GVH-bírság, jogsértéstől eltiltás és kötelezés a Heinekennek</w:t>
      </w:r>
      <w:bookmarkEnd w:id="1"/>
    </w:p>
    <w:p>
      <w:pPr/>
      <w:r>
        <w:rPr/>
        <w:t xml:space="preserve">A Heineken a sörválaszték szűkítése miatt 15 millió forint bírságot köteles megfizetni, egyben megfelelési programot kell kialakítson HORECA partnereivel, hogy tudatosan kerülje a kizárólagos kapcsolatra ösztönző feltételeket.</w:t>
      </w:r>
    </w:p>
    <w:p>
      <w:pPr/>
      <w:r>
        <w:rPr/>
        <w:t xml:space="preserve">A Gazdasági Versenyhivatal (GVH) az összes magyarországi HORECA partnerét érintő belső kontrollprogram bevezetésére kötelezte a Heinekent, illetve a vizsgálat tárgyát képező (egyetlen kiválasztott vendéglátóhellyel fennálló) üzleti kapcsolata nagyságrendjéhez igazodóan 15 millió forintos bírságot szabott ki a holland tulajdonú multinacionális sörgyártó cégre. A GVH iránymutató vizsgálata feltárta, hogy a Heineken a törvényi tilalom ellenére szinte kizárólagosságot eredményező beszállítói együttműködést alakított ki egy fővárosi vendéglátóhellyel.</w:t>
      </w:r>
    </w:p>
    <w:p>
      <w:pPr/>
      <w:r>
        <w:rPr/>
        <w:t xml:space="preserve">A Gazdasági Versenyhivatal 2022 egyszerre öt eljárást indított a sajtóban „sörtörvénynek” keresztelt, a jogalkotó által két éve bevezetett kereskedelmi szabályozás érvényesítésére, amelynek célja az italválaszték bővítése és a szektorban gyakori kizárólagossági megállapodások visszaszorítása volt. Két gyorsétterem-lánc, a Burger King és a KFC esetében tavaly év végén zárultak le a vizsgálatok, megállapítva, hogy mindkét cég megsértette az új rendelkezéseket. A három nagy sörgyárral szemben indított, párhuzamosan futó vizsgálatokból elsőként a Heineken eljárása fejeződött be.</w:t>
      </w:r>
    </w:p>
    <w:p>
      <w:pPr/>
      <w:r>
        <w:rPr/>
        <w:t xml:space="preserve">A Heineken és egy fővárosi vendéglátóhely kereskedelmi kapcsolatát vizsgáló, iránymutató ellenőrzés feltárta, hogy a holland tulajdonú sörgyártó cég olyan feltételekkel alakított ki együttműködést a vendéglátóhellyel, amely azt arra ösztönözte, hogy szinte teljes egészében a Heinekentől szerezze be a sörkészletét. Ezzel a lépéssel a vállalkozások megsértették az új kereskedelmi szabályozás előírásait, mivel leszűkítették a fogyasztók választási lehetőségeit és gátolták más sörgyártók érvényesülését.</w:t>
      </w:r>
    </w:p>
    <w:p>
      <w:pPr/>
      <w:r>
        <w:rPr/>
        <w:t xml:space="preserve">A GVH Versenytanácsa figyelembe vette azt is, hogy a Heineken egy korábbi mulasztására tekintettel visszaesőnek minősül, és hogy a most vizsgált magatartással kifejezetten a kisebb piaci szereplők térnyerését elősegíteni hivatott szabályozás megkerülése volt a célja.</w:t>
      </w:r>
    </w:p>
    <w:p>
      <w:pPr/>
      <w:r>
        <w:rPr/>
        <w:t xml:space="preserve">A Heineken Hungária Sörgyárak Zrt. mindezek figyelembevételével – az egyetlen vizsgált vendéglátóhely forgalma alapján – 15 millió forintos bírságot kapott a jogsértésért. Továbbá a GVH Versenytanácsa megtiltotta a jogsértő magatartás további folytatását, valamint egy belső megfelelési program kialakítására kötelezte a sörgyártót, amely biztosítja, hogy (sem közvetlen, sem közvetett) üzleti feltételei nem ösztönzik a vendéglátóhelyeket a jogszabályi küszöbök átlépésére. A GVH által előírt megfelelési program minden a holland tulajdonú sörgyártó céggel kereskedelmi kapcsolatban lévő vendéglátóhelyre érvényes lesz, így várhatóan piaci szinten fejti ki hatását.</w:t>
      </w:r>
    </w:p>
    <w:p>
      <w:pPr/>
      <w:r>
        <w:rPr/>
        <w:t xml:space="preserve">Az ügyben érintett vendéglátóhelyet üzemeltető Woda Bt-t a hatóság – tekintettel többek között a jogsértésben betöltött csekélyebb szerepére – bírság kiszabása helyett figyelmeztetésben részesítette. A GVH ugyanakkor a budapesti kisvállalkozást is arra kötelezte, hogy alakítson ki a versenyjogi előírásoknak való megfelelést és a jogsértések megelőzését biztosító belső eljárásrendet.</w:t>
      </w:r>
    </w:p>
    <w:p>
      <w:pPr/>
      <w:r>
        <w:rPr/>
        <w:t xml:space="preserve">Az ügy hivatali nyilvántartási száma: VJ/51/2021.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https://hellosajto.hu/6286/gvh-birsag-jogsertestol-eltiltas-es-kotelezes-a-heinekennek/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5340D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2023-09-18T18:03:02+00:00</dcterms:created>
  <dcterms:modified xsi:type="dcterms:W3CDTF">2023-09-18T18:03:02+00:00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