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Pár éven belül bárki megtudhatja, mennyit keresnek kollégái ugyanabban a munkakörben</w:t>
      </w:r>
      <w:bookmarkEnd w:id="1"/>
    </w:p>
    <w:p>
      <w:pPr/>
      <w:r>
        <w:rPr/>
        <w:t xml:space="preserve">Egy uniós irányelvnek köszönhetően néhány éven belül nem csak a cégen belüli bérek lesznek megismerhetőek, hanem az álláshirdetéseknek is kötelező eleme lesz a várható bérsáv. Ezáltal magabiztosabban tudnak a leendő munkavállalók jelentkezni, és az indokolatlan férfi-női bérkülönbségek is szankcionálhatók lesznek. Bár a magyar jogba való átültetése még várat magára, a KPMG szakértői megvizsgálták a vállalatmérettől és üzletágtól függetlenül minden vállalatot érintő szabályozás részleteit.</w:t>
      </w:r>
    </w:p>
    <w:p>
      <w:pPr/>
      <w:r>
        <w:rPr/>
        <w:t xml:space="preserve">Szinte mindenki hallott már arra példát, hogy azonos beosztású női dolgozó jelentősen kevesebb bért kapott férfi kollégáihoz képest. Az úgynevezett bérszakadék valójában mind a közszférában, mind a vállalatoknál nyílt titok. Felmérések szerint a nemek közötti bérszakadék mértéke az EU-ban a kiegyenlítést célzó kampányok ellenére is mintegy 14% körül alakul, vagyis a nők évente közel 2 hónapot ingyen dolgoznak férfi kollégáikhoz képest.</w:t>
      </w:r>
    </w:p>
    <w:p>
      <w:pPr/>
      <w:r>
        <w:rPr/>
        <w:t xml:space="preserve">Ezen kíván változtatni az a 2023/970/EU irányelv, melynek célja, hogy az egyenlő értékű munkáért egyenlő bér járjon, a munkavállaló nemétől függetlenül. A megvalósítás kulcsa az irányelvben megfogalmazott közzétételi előírásokban rejlik. Az irányelv bevezetésével a munkáltatók kötelesek lesznek átfogó kimutatásokat készíteni a munkavállalók díjazásáról, valamint garanciákat bevezetni a bérezési struktúra átláthatósága és az egyenlő vagy egyenértékű munkáért járó egyenlő díjazás elvének biztosítása érdekében.</w:t>
      </w:r>
    </w:p>
    <w:p>
      <w:pPr/>
      <w:r>
        <w:rPr/>
        <w:t xml:space="preserve">„A munkáltatók kötelesek lesznek a munkabéreket átláthatóvá tenni” - hívja fel a figyelmet Dr. Kricskovics-Béli Boglárka, ügyvéd, a KPMG Legal Tóásó Ügyvédi Iroda szakértője. „Hozzáférhetővé kell tenniük a munkavállalók számára a bérszintek és a bérnövekedés meghatározásához használt kritériumokat. Ráadásul már az álláshirdetéseknek is tartalmazniuk kell a kezdeti díjazást vagy a díjtartományt és az álláshelyek nemi szempontból való semlegességét.” </w:t>
      </w:r>
    </w:p>
    <w:p>
      <w:pPr/>
      <w:r>
        <w:rPr/>
        <w:t xml:space="preserve">Így a kiválasztási folyamat is lerövidülhet, hiszen nem a többkörös folyamat legvégén derül fény a nem kielégítő mértékű bérre, hanem a jelentkező már a hirdetés elolvasásakor eldöntheti, hogy érdekli-e a lehetőség ezekkel a feltételekkel, vagy be sem adja a jelentkezését. A pályázati folyamatban ezentúl sem lehetséges a pályázóknak korábbi vagy aktuális díjazásukkal kapcsolatos kérdéseket feltennie a leendő munkáltatónak, igaz, az éven belüli váltáskor az első napon, a korábbi munkahelyi papírok leadásánál ez úgyis kiderül.</w:t>
      </w:r>
    </w:p>
    <w:p>
      <w:pPr/>
      <w:r>
        <w:rPr/>
        <w:t xml:space="preserve">A munkavállalóknak ezentúl nem kell folyosói pletykákra hagyatkozniuk a bérezés kapcsán, hiszen írásbeli tájékoztatást is kérhetnek a velük azonos munkát vagy egyenlő értékű munkát végző munkavállalók átlagos bérszintjéről nemek szerinti bontásban, melyet a munkáltató két hónapon belül köteles megválaszolni – mondják a KPMG szakértői. De a bértitok sem titok többé, hiszen az irányelv alapján – fő szabály szerint – nem lehet korlátozni a munkavállalókat abban, hogy a bérükre vonatkozó információkat közzé tegyenek.</w:t>
      </w:r>
    </w:p>
    <w:p>
      <w:pPr/>
      <w:r>
        <w:rPr/>
        <w:t xml:space="preserve">A legalább 100 főt foglalkoztató vállalatok kötelesek lesznek jelenteni többek között a női és férfi munkavállalók közötti bérkülönbséget, a női és férfi munkavállalók arányát az egyes bérsávosztályokban, valamint az egyes munkavállalói kategóriákban a nemek közötti bérkülönbséget, a rendes alapfizetésre és a kiegészítő vagy változó összetevőkre is tekintettel.</w:t>
      </w:r>
    </w:p>
    <w:p>
      <w:pPr/>
      <w:r>
        <w:rPr/>
        <w:t xml:space="preserve">Dr. Gera Anna, a KPMG Legal Tóásó Ügyvédi Iroda szakértője szerint az első kimutatásokkal azonban nem kell sietniük a szakembereknek, ahogy a tagállamok jogalkotóinak sem, hiszen a 150 vagy annál több munkavállalót foglalkoztató vállalatok esetében ezt elég 2027. június 7-ig elvégezni, ezt követően pedig a vállalat méretétől függően évente (250 vagy annál több munkavállaló esetén) vagy háromévente (150-249 munkavállaló esetén) kell megismételni. A 100-149 munkavállalót foglalkoztató vállalatoknak még hosszabb lesz az átmeneti időszak: az első jelentést 2031. június 7-ig kell elkészíteniük, majd ezt követően háromévente kell megismételniük.</w:t>
      </w:r>
    </w:p>
    <w:p>
      <w:pPr/>
      <w:r>
        <w:rPr/>
        <w:t xml:space="preserve">A munkavállalók érdekeit védeni hivatott képviselők, a munkaügyi felügyelőségek és az egyenlő bánásmóddal foglalkozó testületek is nagyobb hatáskört kapnak majd, hiszen jogosultak lesznek pontosítást kérni a jelentéssel kapcsolatban, a munkáltató pedig köteles lesz válaszolni.</w:t>
      </w:r>
    </w:p>
    <w:p>
      <w:pPr/>
      <w:r>
        <w:rPr/>
        <w:t xml:space="preserve">Bár a kapcsolódó magyar szabályok nem kerültek még megalkotásra, várhatóan Magyarországon a munkaügyi hatóság és az alapvető jogok biztosa lesz majd a felügyeleti szerv. Ha a jelentés azt mutatja, hogy a női és férfi munkavállalók között legalább 5%-os, indokolatlan különbség van, és azt hat hónapon belül nem orvosolja a munkáltató, a jelentéstételre kötelezett munkáltatónak a munkavállalói képviselőkkel együttműködve külön bérértékelést is végeznie kell.</w:t>
      </w:r>
    </w:p>
    <w:p>
      <w:pPr/>
      <w:r>
        <w:rPr/>
        <w:t xml:space="preserve">Ezen felül a perjogi szabályok is szigorodnak annak érdekében, hogy azok megfelelő védelmet biztosítsanak a munkavállaló számára az esetleges hátrányos megkülönböztetés esetén. A jogorvoslat és a jogérvényesítés tekintetében a bírósági eljárásoknak könnyen hozzáférhetőnek kell lenniük, és biztosítaniuk kell, hogy a munkavállalók teljes kártérítést vagy jóvátételt követelhessenek, és kaphassanak.</w:t>
      </w:r>
    </w:p>
    <w:p>
      <w:pPr/>
      <w:r>
        <w:rPr/>
        <w:t xml:space="preserve">A kötelezettségszegéssel összefüggő szankciók kialakítását alapvetően tagállami feladatként határozza meg a szabályozás, ami viszont széttartó jogalkalmazói gyakorlatot eredményezhet. A tagállamoknak azonban biztosítaniuk kell a bírságkiszabás lehetőségét, és azt is, hogy az állami hatóságok kizárhassák azokat a gazdasági szereplőket a közbeszerzési eljárásból, akik a bérek átláthatóságára vonatkozó követelményeknek nem feleltek meg, vagy a munkavállalók bármely kategóriájában 5 %-ot meghaladó, indokolatlan bérszabályozási gyakorlattal működnek.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Kricskovics-Béli Boglárka, counsel</w:t>
      </w:r>
    </w:p>
    <w:p>
      <w:pPr>
        <w:numPr>
          <w:ilvl w:val="0"/>
          <w:numId w:val="1"/>
        </w:numPr>
      </w:pPr>
      <w:r>
        <w:rPr/>
        <w:t xml:space="preserve">KPMG Legal Tóásó Ügyvédi Iroda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https://hellosajto.hu/5088/par-even-belul-barki-megtudhatja-mennyit-keresnek-kollegai-ugyanabban-a-munkakorben/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6B5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2023-08-10T18:07:08+00:00</dcterms:created>
  <dcterms:modified xsi:type="dcterms:W3CDTF">2023-08-10T18:07:08+00:00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