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Élénk kereslet az MBH Jelzálogbank jelzáloglevél-aukcióján</w:t>
      </w:r>
      <w:bookmarkEnd w:id="1"/>
    </w:p>
    <w:p>
      <w:pPr/>
      <w:r>
        <w:rPr/>
        <w:t xml:space="preserve">Sikeres volt az MBH Jelzálogbank jelzáloglevél-kibocsátása, a bank eredetileg 12 milliárd forint értékben meghirdetett jelzáloglevél-aukcióján több mint 14 milliárd forintos befektetői igény mutatkozott.</w:t>
      </w:r>
    </w:p>
    <w:p>
      <w:pPr/>
      <w:r>
        <w:rPr/>
        <w:t xml:space="preserve">Az MBH Jelzálogbank június 28-án tartotta idei negyedik jelzáloglevél-aukcióját, amelynek keretében nyilvános ajánlattételre bocsátotta a 2027. április 22-i lejáratú, változó – háromhavi BUBOR+30 bázispont – kamatozású, MJ27NV01 jelzáloglevél első sorozatrészletét. A 12 milliárd forintra meghirdetett aukció keretében a tőkepiaci szereplők összesen 14,250 milliárd forint értékben nyújtottak be ajánlatot, amelyből a túljegyzésre tekintettel a bank végül 12,450 milliárd forintot fogadott el.</w:t>
      </w:r>
    </w:p>
    <w:p>
      <w:pPr/>
      <w:r>
        <w:rPr/>
        <w:t xml:space="preserve">„Csaknem másfél év után bocsátottunk ki ismét változó kamatozású jelzálogleveleket, alkalmazkodva a piaci igényekhez. Az MBH Jelzálogbank májusi létrejötte óta második sikeres aukciónkat tartottuk, ezzel is bizonyítva, hogy az MBH Csoport a tőkepiaci szempontból volatilis időszakokban is jelen van a piacon, és meghatározó szereplő” – mondta Dr. Nagy Gyula, az MBH Jelzálogbank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https://hellosajto.hu/3850/elenk-kereslet-az-mbh-jelzalogbank-jelzaloglevel-aukciojan/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E86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2023-06-28T18:29:16+00:00</dcterms:created>
  <dcterms:modified xsi:type="dcterms:W3CDTF">2023-06-28T18:29:16+00:00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