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Több mint másfélszeres kereslet az MBH Jelzálogbank jelzáloglevél-aukcióján</w:t>
      </w:r>
      <w:bookmarkEnd w:id="1"/>
    </w:p>
    <w:p>
      <w:pPr/>
      <w:r>
        <w:rPr/>
        <w:t xml:space="preserve">Sikeres volt az MBH Jelzálogbank jelzáloglevél-kibocsátása, a bank eredetileg 10 milliárd forint értékben meghirdetett jelzáloglevél-aukcióján több mint 16 milliárd forintos befektetői igény mutatkozott.</w:t>
      </w:r>
    </w:p>
    <w:p>
      <w:pPr/>
      <w:r>
        <w:rPr/>
        <w:t xml:space="preserve">A korábbi Takarék Jelzálogbank június 13-án tartotta idei harmadik, az MBH Csoport május eleji létrejötte óta első jelzáloglevél-aukcióját, amelynek keretében nyilvános ajánlattételre bocsátotta a 2033. április 20-i lejáratú, évi 9 százalék fix kamatozású MJ33NF01 jelzáloglevél első sorozatrészletét. A 10 milliárd forintra meghirdetett aukció keretében a tőkepiaci szereplők összesen 16,575 milliárd forint értékben nyújtottak be ajánlatot, amelyből a túljegyzésre tekintettel a bank végül 12,545 milliárd forintot fogadott el.</w:t>
      </w:r>
    </w:p>
    <w:p>
      <w:pPr/>
      <w:r>
        <w:rPr/>
        <w:t xml:space="preserve">„Bankunk a tőkepiaci szempontból volatilis időszakokban is meghatározó szereplője a jelzálogpiacnak, rendszeres kibocsátók vagyunk. Idén már a harmadik sikeres aukciónkat bonyolítottuk le, a ma forgalomba hozott 10 éves futamidejű jelzáloglevelek iránt is nagy volt az érdeklődés” – mondta Dr. Nagy Gyula, az MBH Jelzálogbank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https://hellosajto.hu/3374/tobb-mint-masfelszeres-kereslet-az-mbh-jelzalogbank-jelzaloglevel-aukciojan/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7E4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2023-06-13T16:32:48+00:00</dcterms:created>
  <dcterms:modified xsi:type="dcterms:W3CDTF">2023-06-13T16:32:48+00:00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