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VIG: Kétszámjegyű díjbevétel-növekedés 2023 első negyedévében</w:t>
      </w:r>
      <w:bookmarkEnd w:id="1"/>
    </w:p>
    <w:p>
      <w:pPr/>
      <w:r>
        <w:rPr/>
        <w:t xml:space="preserve">A Vienna Insurance Group (VIG) továbbra is növekedési pályán van 2023 első negyedévében. Az IFRS 4 szerinti díjbevétel 12,1%-kal, 3871 millió euróra nőtt az előző év azonos negyedévéhez képest. A számos gazdasági és geopolitikai bizonytalanság ellenére a VIG továbbra is óvatosan optimista a 2023-as év egészét illetően, és továbbra is pozitív működési eredményre törekszik.</w:t>
      </w:r>
    </w:p>
    <w:p>
      <w:pPr/>
      <w:r>
        <w:rPr/>
        <w:t xml:space="preserve">Díjbevétel növekedés minden szegmensben</w:t>
      </w:r>
    </w:p>
    <w:p>
      <w:pPr/>
      <w:r>
        <w:rPr/>
        <w:t xml:space="preserve">Az első negyedévben a VIG Csoport összesen 3871 millió eurós díjbevételt ért el. Ez 12,1%-os növekedésnek felel meg az előző év azonos időszakához képest. A növekedés egyrészt a kelet-közép-európai piacok kimagasló üzleti fejlődésének, másrészt a felvásárolt Aegon-csoport magyarországi és törökországi vállalatainak kezdeti konszolidációjának tudható be. E cégek konszolidációja nélkül is 7,1%-os a díjbevétel növekedés. Minden VIG piacon (Ausztria, Csehország, Lengyelország, kiterjesztett kelet-közép-európai régió, speciális piacok és csoportfunkciók) díjbevétel növekedés volt tapasztalható.</w:t>
      </w:r>
    </w:p>
    <w:p>
      <w:pPr/>
      <w:r>
        <w:rPr/>
        <w:t xml:space="preserve">Ausztriában 2,1%-kal, 1.400 millió euróra, Csehországban pedig 7,1%-kal, 624 millió euróra nőtt a díjbevétel, amely elsősorban a vagyon- és balesetbiztosítás, valamint az egészségbiztosítás növekedésének köszönhető. Lengyelországban a növekedés motorja a gépjármű-kár-, vagyon- és balesetbiztosítás, valamint az egyszeri díjas életbiztosítási üzletág volt. Lengyelországban 14,6%-kal, 386 millió euróra nőtt a díjbevétel.</w:t>
      </w:r>
    </w:p>
    <w:p>
      <w:pPr/>
      <w:r>
        <w:rPr/>
        <w:t xml:space="preserve">A CEE szegmensben (Albánia, beleértve Koszovót, a Balti államok, Bosznia-Hercegovina, Bulgária, Horvátország, Moldova, Észak-Macedónia, Románia, Szerbia, Szlovákia, Ukrajna és Magyarország) 16,5%-kal, 1.038 millió euróra nőtt a díjbevétel, amely részben a balti államoknak és a Magyarországon felvásárolt Aegon vállalatok kezdeti konszolidációjának tulajdonítható. A speciális piacok szegmensében (Németország, Liechtenstein, Grúzia és Törökország) 85,1%-kal, 282 millió euróra nőtt a díjbevétel, ami szinte kizárólag Törökországnak tudható be, ami egyrészt a volt török Aegon-vállalat, a Viennalife kezdeti konszolidációjából, másrészt a meglévő VIG vállalat, a Ray Sigorta díjbevételének növekedéséből adódik. A Csoportfunkciók szegmensben a díjbevétel 11,6%-kal, 736 millió euróra nőt, ami elsősorban a VIG Re viszontbiztosító erőteljes növekedésének köszönhető.</w:t>
      </w:r>
    </w:p>
    <w:p>
      <w:pPr/>
      <w:r>
        <w:rPr/>
        <w:t xml:space="preserve">A fenti adatok és összehasonlítások továbbra is az IFRS 4 szerint elszámolt díjakon alapulnak. 2023 első felétől a VIG Csoport először tesz közzé IFRS 17/9 szerinti pénzügyi adatokat.</w:t>
      </w:r>
    </w:p>
    <w:p>
      <w:pPr/>
      <w:r>
        <w:rPr/>
        <w:t xml:space="preserve">Kiemelkedő fizetőképességi mutató</w:t>
      </w:r>
    </w:p>
    <w:p>
      <w:pPr/>
      <w:r>
        <w:rPr/>
        <w:t xml:space="preserve">A Csoport fizetőképességi mutatója 2023 első negyedévének végén 284% (átmeneti intézkedésekkel együtt), stabil maradt a 2022 végi 280%-hoz képest. Ez ismét alátámasztja a VIG Csoport rendkívüli tőkeerősségét és rugalmasságát.</w:t>
      </w:r>
    </w:p>
    <w:p>
      <w:pPr/>
      <w:r>
        <w:rPr/>
        <w:t xml:space="preserve">Pozitív működési teljesítmény 2023-ra</w:t>
      </w:r>
    </w:p>
    <w:p>
      <w:pPr/>
      <w:r>
        <w:rPr/>
        <w:t xml:space="preserve">A 2023-as pénzügyi évet még mindig jelentős bizonytalanság jellemzi. Az ukrajnai háború különös kihívást jelent, mivel a konfliktus lefolyását továbbra sem lehet megjósolni, és ennek hatása minden szektorban érezhető. Az infláció, amely magas szinten marad, szintén hatással lesz a jövőbeni üzleti fejlődésre. A reáljövedelem csökkenése az infláció kiigazítása ellenére egyes esetekben a biztosítási igények csökkenéséhez vezethet a fogyasztók körében.</w:t>
      </w:r>
    </w:p>
    <w:p>
      <w:pPr/>
      <w:r>
        <w:rPr/>
        <w:t xml:space="preserve">A VIG Csoport volatilis tőkepiaci kitettsége továbbra is érzékelhető. A munkaerő-piaci helyzet élesebbé vált. A megfelelő szakképzett munkaerő hiánya szinte minden iparágra és gazdasági ágazatra hatással van.</w:t>
      </w:r>
    </w:p>
    <w:p>
      <w:pPr/>
      <w:r>
        <w:rPr/>
        <w:t xml:space="preserve">„A makrogazdasági fejlemények olyan kihívások elé állítanak bennünket, amelyeket nagyrészt operatív és stratégiai intézkedésekkel tudunk megoldani. Mindezen kihívások fényében kiváló tőkepozíciónkból, valamint régiók, termékek és értékesítési csatornák sokszínűségéből tudunk profitálni. A jelenlegi gazdasági növekedési előrejelzések az alaptevékenységünkre vonatkozóan biztatóak. Az ukrajnai háború ellenére a kelet-közép-európai régió gazdaságai rugalmasságot mutatnak. Bár ebben a régióban gyengébb gazdasági növekedést látunk, 2023 egészére vonatkozóan erősebb növekedésre számítunk, amely meghaladja az eurózónáét. A VIG Csoport határozottan pozitív működési eredményre törekszik 2023-ban” – magyarázza Elisabeth Stadler, a Vienna Insurance Group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drevenka.edit@aegon.hu</w:t>
      </w:r>
    </w:p>
    <w:p>
      <w:pPr/>
      <w:r>
        <w:rPr/>
        <w:t xml:space="preserve">Eredeti tartalom: Aegon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https://hellosajto.hu/3014/vig-ketszamjegyu-dijbevetel-novekedes-2023-elso-negyedeveben/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Aegon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08A4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2023-05-31T15:19:34+00:00</dcterms:created>
  <dcterms:modified xsi:type="dcterms:W3CDTF">2023-05-31T15:19:34+00:00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