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Tovább építi keleti kapcsolatait a Budapesti Értéktőzsde</w:t>
      </w:r>
      <w:bookmarkEnd w:id="1"/>
    </w:p>
    <w:p>
      <w:pPr/>
      <w:r>
        <w:rPr/>
        <w:t xml:space="preserve">A Budapesti Értéktőzsde egyetértési megállapodást írt alá a Mongol Értéktőzsdével (MSE), amely a két tőkepiac közötti kapcsolatépítést és tudásmegosztást helyezi a fókuszba. A megállapodás egyúttal a BÉT nemzetközi, azon belül is ázsiai kapcsolatépítésének újabb fontos állomása. Az MoU (Memorandum of Understanding) egyezményt online aláírási ceremónia keretein belül érvényesítették a felek.</w:t>
      </w:r>
    </w:p>
    <w:p>
      <w:pPr/>
      <w:r>
        <w:rPr/>
        <w:t xml:space="preserve">A nem kötelező érvényű megállapodás a helyi tőkepiacok használatának ösztönzésére és a tőkepiacokkal kapcsolatos tudásmegosztásra irányul. A MoU alapjaként a két tőzsde tevékenységének közös pontjai, többek között a fenntarthatósággal kapcsolatos törekvések szolgáltak a Mongol Értéktőzsde ugyanis, a BÉT-hez hasonlóan az ENSZ tőzsdéket tömörítő fenntarthatósági kezdeményezése, a Sustainable Stock Exchanges (SSE) tagja.</w:t>
      </w:r>
    </w:p>
    <w:p>
      <w:pPr/>
      <w:r>
        <w:rPr/>
        <w:t xml:space="preserve">Az ulánbátori székhelyű Mongol Értéktőzsdét 1992-ben alapították. A tőzsde az első években a mongol privatizáció fontos színtere volt, amelynek keretében 475 állami vállalat részvényei kerültek bevezetésre, közel egymillió kisbefektető részvételével. Az MSE azonnali piacán jelenleg 180 társaság részvényei forognak.</w:t>
      </w:r>
    </w:p>
    <w:p>
      <w:pPr/>
      <w:r>
        <w:rPr/>
        <w:t xml:space="preserve">Idén januárban a tőzsdére ment a Mongol Értéktőzsde, melynek keretében a cég részvényeinek 34%-a értékesítésre került 3,5 millió USD értékben.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p>
      <w:pPr/>
      <w:r>
        <w:rPr/>
        <w:t xml:space="preserve">Eredeti tartalom: Budapesti Értéktőzsde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https://hellosajto.hu/2606/tovabb-epiti-keleti-kapcsolatait-a-budapesti-ertektozsde/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E4A2F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2023-05-11T21:14:26+00:00</dcterms:created>
  <dcterms:modified xsi:type="dcterms:W3CDTF">2023-05-11T21:14:26+00:00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