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Stabil első negyedévi bevételnövekedés a régió ellenállóképességének köszönhetően</w:t>
      </w:r>
      <w:bookmarkEnd w:id="1"/>
    </w:p>
    <w:p>
      <w:pPr/>
      <w:r>
        <w:rPr/>
        <w:t xml:space="preserve">A nettó kamatbevétel éves szinten 27,1 százalékkal, 1,77 milliárd euróra nőtt</w:t>
      </w:r>
    </w:p>
    <w:p>
      <w:pPr/>
      <w:r>
        <w:rPr/>
        <w:t xml:space="preserve">A működési eredmény 1,26 milliárd euró volt, ami 56,9 százalékkal nagyobb az előző évinél</w:t>
      </w:r>
    </w:p>
    <w:p>
      <w:pPr/>
      <w:r>
        <w:rPr/>
        <w:t xml:space="preserve">Az NPL ráta 2,1 százalékon, 20,7 millió euró céltartalék-felszabadítás az első negyedévben</w:t>
      </w:r>
    </w:p>
    <w:p>
      <w:pPr/>
      <w:r>
        <w:rPr/>
        <w:t xml:space="preserve">Az ügyfélbetétek növekedése meghaladja a hitelállomány bővülését</w:t>
      </w:r>
    </w:p>
    <w:p>
      <w:pPr/>
      <w:r>
        <w:rPr/>
        <w:t xml:space="preserve">Az Erste Csoport (Erste Group Bank AG) 1,26 milliárd eurós működési eredményről számolt be 2023 első három hónapjában. Ez az éves összevetésben közel 57 százalékos növekedés tükrözi a szilárd, 1,77 milliárd eurós nettó kamatbevételt (27,1 százalékos növekedés az előző év azonos időszakához képest), amelynek hátterében a kedvező kamatváltozások és a hitelállomány növekedése áll. A pénzforgalmi szolgáltatások és a vagyonkezelés területén elért bevételnövekedés a nettó díj- és jutalékbevételeket 4,4 százalékkal növelték éves szinten, 643 millió euróra. Az átértékelési hatások következtében a nettó kereskedési eredmény 117 millió euróra javult, szemben az egy évvel korábbi 257 millió eurós veszteséggel. A működési költségek az előző év azonos időszakához képest 0,6 százalékkal, 1,24 milliárd euróra emelkedtek. Az első negyedévben a kockázati céltartalékok nettó feloldása 20,7 millió eurós pozitív értékvesztést eredményezett, amely hozzájárult az első negyedév 594 millió eurós nettó eredményének kialakulásához.</w:t>
      </w:r>
    </w:p>
    <w:p>
      <w:pPr/>
      <w:r>
        <w:rPr/>
        <w:t xml:space="preserve">“A közép- és kelet-európai gazdaságok nem menekülhettek meg a gazdasági növekedés globális lassulásától, de ellenállónak bizonyulnak. Biztosak vagyunk abban, hogy a közép- és kelet-európai konvergencia fennmarad, és 2024-tőla térség ismét Európa növekedési régiójaként emelkedik ki” – mondta Willi Cernko, az Erste Group vezérigazgatója. „A piacainkba vetett bizalmunkon túl világos elképzelésünk van a digitalizációról is. Ezt már megmutattuk lakossági ügyfeleink számára a George sikerével hat piacon. Most elindítottuk a George Business-t a vállalati felhasználók számára Ausztriában, és kiterjesztjük ezt az innovatív üzleti banki platformot más piacainkra is. Továbbra is ösztönözzük a digitális innovációt, amely kulcsfontosságú eszköz ahhoz, hogy ügyfeleink számára biztosítsuk azokat az adatokat, eszközöket és ismereteket, amelyekre szükségük van pénzügyi jólétük előmozdításához.”</w:t>
      </w:r>
    </w:p>
    <w:p>
      <w:pPr/>
      <w:r>
        <w:rPr/>
        <w:t xml:space="preserve">“A hitelezés növekedése lelassult az első negyedévben, tükrözve a visszafogottabb általános makrokörnyezetet. A nettó kamatbevétel azonban erőteljesen nőtt, és a bevételnövekedés kulcseleme maradt, köszönhetően a kamatciklus kedvező alakulásának a legtöbb piacunkon, és az ügfyélhitelek állománynövekedésének az összes piacunkkon. A 2023 első három hónapjában elért eredményünk működési költségek várakozásoknak megfelelő alakulásának és a továbbra is kedvező kockázati környezetnek is köszönhető” – mondta Stefan Dörfler, az Erste Group pénzügyi igazgatója. „A globális bankpiac közelmúltbeli fejleményeire tekintettel üdvözöljük az elmúlt hónapokban tapasztalt betétbeáramlást. Ez jelzi, hogy az ügyfelek bíznak bennünk, mint kelet-közép-európastabil vezető pénzügyi szolgáltatójában. Az első negyedévben közzétett szilárd működési és nettó eredményünk is bizakodásra ad okot, hogy jó úton haladunk a frissített, egész éves terveink teljesítése felé.”</w:t>
      </w:r>
    </w:p>
    <w:p>
      <w:pPr/>
      <w:r>
        <w:rPr/>
        <w:t xml:space="preserve">Az időközi vezetői jelentésben a 2023. január-márciusi pénzügyi eredményeket a 2022. január-márciusi adatokkal, a 2023. március 31-i mérleg tételeit pedig a 2022. december 31-i pozíciókkal vetjük össze.</w:t>
      </w:r>
    </w:p>
    <w:p>
      <w:pPr/>
      <w:r>
        <w:rPr/>
        <w:t xml:space="preserve">A magasabb működési bevétel a kamatbevételek és nettó kereskedési eredmény növekedését tükrözi</w:t>
      </w:r>
    </w:p>
    <w:p>
      <w:pPr/>
      <w:r>
        <w:rPr/>
        <w:t xml:space="preserve">A nettó kamatbevétel 1769,0 millió euróra nőtt (+27,1%, 1392,1 millió euróról), a – leginkább Ausztriában, Magyarországon és Romániában végrehajtott – kamatemelések és a hitelállomány minden piacon tapasztalt jelentős bővülésének következtében. A nettó díj- és jutalékbevétel 642,7 millió euróra emelkedett (+4,4%; 615,3 millió euróról). Szinte minden elsődleges piacon növekedés volt tapasztalható, különösen a pénzforgalmi szolgáltatásoknál, de a vagyonkezelés területén is. A nettó kereskedési eredmény 116,7 millióra nőtt (-256,6 millió euróról); a valós értéken nyilvántartott pénzügyi eszközök vesztesége -81,4 millió euró volt (239,7 millió euróról). E két tétel alakulása elsősorban átértékelési hatásoknak tulajdonítható. A működési bevétel 2498,7 millió euróra nőtt (+22,7%, 2036,2 millió euróról).</w:t>
      </w:r>
    </w:p>
    <w:p>
      <w:pPr/>
      <w:r>
        <w:rPr/>
        <w:t xml:space="preserve">A működési eredmény 1,25 milliárd euróra emelkedett</w:t>
      </w:r>
    </w:p>
    <w:p>
      <w:pPr/>
      <w:r>
        <w:rPr/>
        <w:t xml:space="preserve">Az általános igazgatási költségek közel változatlanul 1242,0 millió eurót tettek ki, (+0,6%, 1235,2 millió euróról). A személyi jellegű ráfordítások 697,5 millió euróra nőttek (+10,6%, 630,7 millió euróról). Az egyéb igazgatási költségek 408,6 millió euróra (-12,7%, 468,1 millió euróról) csökkentek, leginkább a betétbiztosítási alapokba fizetendő hozzájárulások mérséklődése miatt, amelyek 113,5 millió eurót tettek ki (199,2 millió euróról). A 2023-ra várható hozzájárulások nagy része már jelentkezik az összegben. 2022 első negyedévében a Sberbank Europe betétbiztosítási ügye eredményezett magasabb kiadásokat. Az amortizációs és értékcsökkenési leírás 135,9 millió euróra csökkent (-0,4%, 136,4 millió euróról). Összességében a működési eredmény jelentősen, 1256,7 millió euróra javult (+56,9%, 801,0 millió euróról). A költség/bevétel ráta 49,7 százalékra javult. (60,7 százalék után).</w:t>
      </w:r>
    </w:p>
    <w:p>
      <w:pPr/>
      <w:r>
        <w:rPr/>
        <w:t xml:space="preserve">A kockázati környezet kedvező maradt</w:t>
      </w:r>
    </w:p>
    <w:p>
      <w:pPr/>
      <w:r>
        <w:rPr/>
        <w:t xml:space="preserve">A pénzügyi eszközökre elszámolt nettó értékvesztés +20,7 millió eurót, vagyis az átlagos bruttó ügyfélhitelek állományának arányában +4 bázispontot tett ki (szemben az előző évi -59,1 millió euróval és -13 bázisponttal). Szinte minden szegmensben pozitív hozzájárulást jelentettek a kötelezettségvállalásokra és garanciákra képzett céltartalékok felszabadításai, valamint a már leírt hitelek megtérüléséből származó bevételek, elsősorban Ausztriában és Csehországban. Az első negyedévben nem változtak az előretekintő gazdasági mutatók (forward looking indicators – FLIs), valamint az ágazati kockázati pufferek. Összességében a válságokkal kapcsolatos általános céltartalékok állománya változatlan maradt, mintegy 900 millió eurót tett ki március végén. A bruttó ügyfélhitelekhez viszonyított NPL-ráta szinte nem változott, 2,1 százalékot tett ki (2,0 százalékról). Az NPL-fedezettségi mutató (biztosítékok nélkül) 94,3 százalékon állt (94,6 százalék után).</w:t>
      </w:r>
    </w:p>
    <w:p>
      <w:pPr/>
      <w:r>
        <w:rPr/>
        <w:t xml:space="preserve">A nettó eredmény növekedése az erős működési eredményt és a kockázati költségek csökkenését tükrözi</w:t>
      </w:r>
    </w:p>
    <w:p>
      <w:pPr/>
      <w:r>
        <w:rPr/>
        <w:t xml:space="preserve">Az egyéb működési eredmény -274,3 millió eurót tett ki (az előző évi -132,7 millió euró után). Az ebben a sorban szereplő szanálási alapokba fizetendő hozzájárulás tovább növekedett, és – leginkább Ausztriában – 138,1 millió eurót tett ki (123,1 millió euróról), és már a teljes 2023. évi összeget tartalmazza. A jelenleg két elsődleges piacon fizetendő bankadó összege 99,1 millió euróra nőtt (40,2 millió euróról). Ebből Magyarországon 89,5 millió eurót kellett befizetni, amiből a rendszeres bankadó 18,8 millió eurót (előző évi 18,0 millió euró), az előző év nettó bevétele alapján számított „extraprofitadó” 53,4 millió eurót tett ki (mindkettő a teljes 2023. év egészére vetítve előre). Az előző évi „extraporfit adót” (49,9 millió euró) 2022-ben csak a második negyedévben kellett elszámolni. A magyar tranzakciós illeték az első negyedévben 17,4 millió euró volt (az előző évi 14,1 millió euró után). Ausztriában a bankadó 9,6 millió eurót tett ki (az előző évi 8,1 millió euró). Mindemellett az egyéb működési eredményt negatívan befolyásolták az átértékelési hatások is.</w:t>
      </w:r>
    </w:p>
    <w:p>
      <w:pPr/>
      <w:r>
        <w:rPr/>
        <w:t xml:space="preserve">A bevételt terhelő adók 185,6 millió euróra tettek ki (115,6 millió euró után). A kisebbségi részesedések utáni jövedelem 224,0 millió euróra emelkedett (45,7 millió euróról), leginkább a takarékpénztárak lényegesen jobb eredménye miatt, ami a elsősorban a magasabb nettó kamatbevétel következménye. Az anyavállalat tulajdonosaira jutó nettó eredmény 593,6 millió euróra nőtt (448,8 millió euróról) az erőteljes működési eredménynek és az alacsony kockázati költségeknek köszönhetően.</w:t>
      </w:r>
    </w:p>
    <w:p>
      <w:pPr/>
      <w:r>
        <w:rPr/>
        <w:t xml:space="preserve">Az ügyfélbetétek állományának növekedése meghaladja a hitelállomány növekedését</w:t>
      </w:r>
    </w:p>
    <w:p>
      <w:pPr/>
      <w:r>
        <w:rPr/>
        <w:t xml:space="preserve">Az alaptőke - AT1 tőkeinstrumentumok nélkül - 24,2 milliárd euróra nőtt (23,1 milliárd euróról). A szabályozói levonások és a CRR-nek megfelelő szűrés után az elsődleges tier 1-es alaptőke (CET1, végleges) 20,5 milliárd euróra nőtt (20,4 milliárd euróról), a (végleges) szavatolótőke pedig 26,4 milliárd euróra emelkedett (26,2 milliárd euróról). Az első negyedéves időközi eredmény nem szerepel a fenti adatokban. A teljes kockázati kitettség (a kockázattal súlyozott eszközök, ideértve a hitelezési, piaci, és működési kockázatokat - a CRR szerint végleges) 146,2 milliárd euróra nőtt (143,9 milliárd euróról). Az elsődleges tier 1-es alaptőkeráta (CET1) 14,0 százalék volt (14,2 százalék után), a teljes tőkeráta pedig 18,0 százalékra csökkent (18,2 százalékról).</w:t>
      </w:r>
    </w:p>
    <w:p>
      <w:pPr/>
      <w:r>
        <w:rPr/>
        <w:t xml:space="preserve">A mérlegfőösszeg 342,9 milliárd euróra nőtt (+5,9%, 323,9 milliárd euróról). Eszközoldalon a készpénz- és pénzeszközök 43,3 milliárd euróra nőttek (35,7 milliárd euróról), a hitelintézeteknek nyújtott hitelek és előlegek állománya 27,3 milliárd euróra emelkedett (18,4 milliárd euróról), leginkább Ausztriában és Csehországban. Az ügyfeleknek nyújtott hitelek és követelések állománya csak mérsékelten nőtt a múlt év vége óta, 202,7 milliárd euróra (+0,3%, 202,1 milliárd euróról), mivel a vállalati hitelek iránti kereslet – amely az előző év hosszú időszakában a növekedés egyik fő motorja volt – visszafogott maradt. Forrásoldalon a hitelintézetek által elhelyezett betétek állománya 29,9 milliárd euróra nőtt (28,8 milliárd euróról). Az ügyfélbetétek állománya majdnem minden elsődleges piacon bővült– a legnagyobb mértékben Ausztriában és Csehországban – 238,1 milliárd euróra (+6,3%, 224,0 milliárd euróról). A hitel/betét ráta 85,1 százalékra esett (90,2 százalékról).</w:t>
      </w:r>
    </w:p>
    <w:p>
      <w:pPr/>
      <w:r>
        <w:rPr/>
        <w:t xml:space="preserve">Előrejelzés</w:t>
      </w:r>
    </w:p>
    <w:p>
      <w:pPr/>
      <w:r>
        <w:rPr/>
        <w:t xml:space="preserve">Az elemzői várakozások szerint az Erste Csoport elsődleges piacai elkerülik a recessziót 2023-ban, és valójában reál-GDP növekedést érnek el. Az inflációs nyomás 2023-ban várhatóan mérséklődik, miután 2022-ben kétszámjegyű szintet ért el a rendkívül magas energiaárak következtében. A továbbra is erős munkaerőpiac támogatja a gazdasági teljesítmény növekedését az Erste Csoport összes piacán. A folyó fizetési mérleg egyenlegek, amelyek 2022-ben jelentősen megszenvedték a rendkívül magas energiaárakat, 2023-ban várhatóan ismét javulnak az energiaár-fordulatnak köszönhetően. Az államháztartási egyenlegek hasonló konszolidációja várható a 2022-es jelentős költségvetési hiányokat követően. A GDP arányos államadósság az Erste Csoport összes piacán az előrejelzések szerint nagyjából stabil lesz, és így lényegesen az eurózóna átlaga alatt marad.</w:t>
      </w:r>
    </w:p>
    <w:p>
      <w:pPr/>
      <w:r>
        <w:rPr/>
        <w:t xml:space="preserve">Ilyen körülmények között az Erste Csoport egy számjegyű tartomány közepe körüli nettó hitelnövekedésre számít. A fentiekben részletezett hitelnövekedés és a kamatlábak alakulása a nettó kamatbevétel 15 százalék körüli növekedését eredményezhetik. A fent ismertetett robusztus makrokilátások alapján a kockázati költségek alacsony szinten maradnak 2023-ban. A jelenlegi előrejelzések alapján az Erste Csoport azt várja, hogy 2023-ban a kockázati költségek az átlagos bruttó ügyfélhitelek 25 bázispontja alatt lesznek.</w:t>
      </w:r>
    </w:p>
    <w:p>
      <w:pPr/>
      <w:r>
        <w:rPr/>
        <w:t xml:space="preserve">Az Erste Csoport célja a 13 és 15 százalék közötti ROTE elérése. Az Erste Csoport CET1 mutatója várhatóan erős marad. Ennek megfelelően az Erste Csoport részvényenként 1,90 euró osztalék kifizetését javasolja a 2022-es pénzügyi évre a 2023-as májusi közgyűlésen. Az Erste Csoport emellett kérelmet nyújtott be 2023-ban legfeljebb 300 millió eurós részvény-visszavásárlás hatósági jóváhagyására.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Christian Hromatka</w:t>
      </w:r>
    </w:p>
    <w:p>
      <w:pPr>
        <w:numPr>
          <w:ilvl w:val="0"/>
          <w:numId w:val="1"/>
        </w:numPr>
      </w:pPr>
      <w:r>
        <w:rPr/>
        <w:t xml:space="preserve">christian.hromatka@erstegroup.com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0.1324503311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Erste Bank Hungary Zrt.
                <w:br/>
                <w:br/>
              </w:t>
            </w:r>
          </w:p>
        </w:tc>
      </w:tr>
    </w:tbl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https://hellosajto.hu/2395/stabil-elso-negyedevi-bevetelnovekedes-a-regio-ellenallokepessegenek-koszonhetoen/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7022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2023-04-28T14:38:20+00:00</dcterms:created>
  <dcterms:modified xsi:type="dcterms:W3CDTF">2023-04-28T14:38:20+00:00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